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A63" w:rsidRPr="00521A63" w:rsidRDefault="00521A63" w:rsidP="00521A63">
      <w:pPr>
        <w:widowControl/>
        <w:shd w:val="clear" w:color="auto" w:fill="FFFFFF"/>
        <w:spacing w:line="360" w:lineRule="auto"/>
        <w:jc w:val="center"/>
        <w:rPr>
          <w:rFonts w:ascii="仿宋_GB2312" w:eastAsia="仿宋_GB2312" w:hAnsi="Times New Roman" w:cs="Times New Roman"/>
          <w:b/>
          <w:color w:val="292727"/>
          <w:kern w:val="0"/>
          <w:sz w:val="32"/>
          <w:szCs w:val="32"/>
          <w:shd w:val="clear" w:color="auto" w:fill="FFFFFF"/>
        </w:rPr>
      </w:pPr>
      <w:r w:rsidRPr="00521A63">
        <w:rPr>
          <w:rFonts w:ascii="仿宋_GB2312" w:eastAsia="仿宋_GB2312" w:hAnsi="Times New Roman" w:cs="Times New Roman" w:hint="eastAsia"/>
          <w:b/>
          <w:color w:val="292727"/>
          <w:kern w:val="0"/>
          <w:sz w:val="32"/>
          <w:szCs w:val="32"/>
          <w:shd w:val="clear" w:color="auto" w:fill="FFFFFF"/>
        </w:rPr>
        <w:t>泉州海洋职业学院</w:t>
      </w:r>
    </w:p>
    <w:p w:rsidR="00521A63" w:rsidRPr="00521A63" w:rsidRDefault="003934F8" w:rsidP="0016407E">
      <w:pPr>
        <w:widowControl/>
        <w:shd w:val="clear" w:color="auto" w:fill="FFFFFF"/>
        <w:spacing w:afterLines="150" w:line="360" w:lineRule="auto"/>
        <w:jc w:val="center"/>
        <w:rPr>
          <w:rFonts w:ascii="仿宋_GB2312" w:eastAsia="仿宋_GB2312" w:hAnsi="Times New Roman" w:cs="Times New Roman"/>
          <w:b/>
          <w:color w:val="292727"/>
          <w:kern w:val="0"/>
          <w:sz w:val="36"/>
          <w:szCs w:val="36"/>
          <w:shd w:val="clear" w:color="auto" w:fill="FFFFFF"/>
        </w:rPr>
      </w:pPr>
      <w:r>
        <w:rPr>
          <w:rFonts w:ascii="仿宋_GB2312" w:eastAsia="仿宋_GB2312" w:hAnsi="Times New Roman" w:cs="Times New Roman" w:hint="eastAsia"/>
          <w:b/>
          <w:color w:val="292727"/>
          <w:kern w:val="0"/>
          <w:sz w:val="36"/>
          <w:szCs w:val="36"/>
          <w:shd w:val="clear" w:color="auto" w:fill="FFFFFF"/>
        </w:rPr>
        <w:t>2016年“二元制”改革试点项目工作</w:t>
      </w:r>
      <w:r w:rsidR="00521A63" w:rsidRPr="00521A63">
        <w:rPr>
          <w:rFonts w:ascii="仿宋_GB2312" w:eastAsia="仿宋_GB2312" w:hAnsi="Times New Roman" w:cs="Times New Roman" w:hint="eastAsia"/>
          <w:b/>
          <w:color w:val="292727"/>
          <w:kern w:val="0"/>
          <w:sz w:val="36"/>
          <w:szCs w:val="36"/>
          <w:shd w:val="clear" w:color="auto" w:fill="FFFFFF"/>
        </w:rPr>
        <w:t>总结</w:t>
      </w:r>
    </w:p>
    <w:p w:rsidR="00CA6159" w:rsidRDefault="00521A63" w:rsidP="00521A63">
      <w:pPr>
        <w:widowControl/>
        <w:shd w:val="clear" w:color="auto" w:fill="FFFFFF"/>
        <w:spacing w:line="360" w:lineRule="auto"/>
        <w:ind w:firstLineChars="200" w:firstLine="480"/>
        <w:rPr>
          <w:rFonts w:ascii="仿宋_GB2312" w:eastAsia="仿宋_GB2312" w:hAnsi="Times New Roman" w:cs="Times New Roman"/>
          <w:color w:val="292727"/>
          <w:kern w:val="0"/>
          <w:sz w:val="24"/>
          <w:szCs w:val="24"/>
          <w:shd w:val="clear" w:color="auto" w:fill="FFFFFF"/>
        </w:rPr>
      </w:pPr>
      <w:r>
        <w:rPr>
          <w:rFonts w:ascii="仿宋_GB2312" w:eastAsia="仿宋_GB2312" w:hAnsi="Times New Roman" w:cs="Times New Roman" w:hint="eastAsia"/>
          <w:color w:val="292727"/>
          <w:kern w:val="0"/>
          <w:sz w:val="24"/>
          <w:szCs w:val="24"/>
          <w:shd w:val="clear" w:color="auto" w:fill="FFFFFF"/>
        </w:rPr>
        <w:t>我院</w:t>
      </w:r>
      <w:r w:rsidRPr="00521A63">
        <w:rPr>
          <w:rFonts w:ascii="仿宋_GB2312" w:eastAsia="仿宋_GB2312" w:hAnsi="Times New Roman" w:cs="Times New Roman" w:hint="eastAsia"/>
          <w:color w:val="292727"/>
          <w:kern w:val="0"/>
          <w:sz w:val="24"/>
          <w:szCs w:val="24"/>
          <w:shd w:val="clear" w:color="auto" w:fill="FFFFFF"/>
        </w:rPr>
        <w:t>根据《福建省教育厅等五部门关于实施“二元制”技术技能人才培养模式改革试点的通知》（闽教职成〔2016〕10号）等文件精神，</w:t>
      </w:r>
      <w:r>
        <w:rPr>
          <w:rFonts w:ascii="仿宋_GB2312" w:eastAsia="仿宋_GB2312" w:hAnsi="Times New Roman" w:cs="Times New Roman" w:hint="eastAsia"/>
          <w:color w:val="292727"/>
          <w:kern w:val="0"/>
          <w:sz w:val="24"/>
          <w:szCs w:val="24"/>
          <w:shd w:val="clear" w:color="auto" w:fill="FFFFFF"/>
        </w:rPr>
        <w:t>积极组织项目申报，在项目落地后，在学院领导</w:t>
      </w:r>
      <w:r w:rsidR="00CA6159">
        <w:rPr>
          <w:rFonts w:ascii="仿宋_GB2312" w:eastAsia="仿宋_GB2312" w:hAnsi="Times New Roman" w:cs="Times New Roman" w:hint="eastAsia"/>
          <w:color w:val="292727"/>
          <w:kern w:val="0"/>
          <w:sz w:val="24"/>
          <w:szCs w:val="24"/>
          <w:shd w:val="clear" w:color="auto" w:fill="FFFFFF"/>
        </w:rPr>
        <w:t>积极推动下，招生就业处和教务处主动配合，按照“二元制”自助招生的各项工作计划稳步推进，顺利的完成了试点招生的工作的各个环节，做到了规范严谨、注重质量，满足了企业对本项目人才培养的选拔条件。</w:t>
      </w:r>
    </w:p>
    <w:p w:rsidR="00CA6159" w:rsidRPr="0061425E" w:rsidRDefault="00CA6159" w:rsidP="0061425E">
      <w:pPr>
        <w:widowControl/>
        <w:shd w:val="clear" w:color="auto" w:fill="FFFFFF"/>
        <w:spacing w:line="360" w:lineRule="auto"/>
        <w:ind w:firstLineChars="200" w:firstLine="482"/>
        <w:rPr>
          <w:rFonts w:ascii="仿宋_GB2312" w:eastAsia="仿宋_GB2312" w:hAnsi="Times New Roman" w:cs="Times New Roman"/>
          <w:b/>
          <w:color w:val="292727"/>
          <w:kern w:val="0"/>
          <w:sz w:val="24"/>
          <w:szCs w:val="24"/>
          <w:shd w:val="clear" w:color="auto" w:fill="FFFFFF"/>
        </w:rPr>
      </w:pPr>
      <w:r w:rsidRPr="0061425E">
        <w:rPr>
          <w:rFonts w:ascii="仿宋_GB2312" w:eastAsia="仿宋_GB2312" w:hAnsi="Times New Roman" w:cs="Times New Roman" w:hint="eastAsia"/>
          <w:b/>
          <w:color w:val="292727"/>
          <w:kern w:val="0"/>
          <w:sz w:val="24"/>
          <w:szCs w:val="24"/>
          <w:shd w:val="clear" w:color="auto" w:fill="FFFFFF"/>
        </w:rPr>
        <w:t>一、主要的工作措施</w:t>
      </w:r>
    </w:p>
    <w:p w:rsidR="00CA6159" w:rsidRDefault="00CA6159" w:rsidP="00521A63">
      <w:pPr>
        <w:widowControl/>
        <w:shd w:val="clear" w:color="auto" w:fill="FFFFFF"/>
        <w:spacing w:line="360" w:lineRule="auto"/>
        <w:ind w:firstLineChars="200" w:firstLine="480"/>
        <w:rPr>
          <w:rFonts w:ascii="仿宋_GB2312" w:eastAsia="仿宋_GB2312" w:hAnsi="Times New Roman" w:cs="Times New Roman"/>
          <w:color w:val="292727"/>
          <w:kern w:val="0"/>
          <w:sz w:val="24"/>
          <w:szCs w:val="24"/>
          <w:shd w:val="clear" w:color="auto" w:fill="FFFFFF"/>
        </w:rPr>
      </w:pPr>
      <w:r>
        <w:rPr>
          <w:rFonts w:ascii="仿宋_GB2312" w:eastAsia="仿宋_GB2312" w:hAnsi="Times New Roman" w:cs="Times New Roman" w:hint="eastAsia"/>
          <w:color w:val="292727"/>
          <w:kern w:val="0"/>
          <w:sz w:val="24"/>
          <w:szCs w:val="24"/>
          <w:shd w:val="clear" w:color="auto" w:fill="FFFFFF"/>
        </w:rPr>
        <w:t>为了保证</w:t>
      </w:r>
      <w:r w:rsidRPr="00521A63">
        <w:rPr>
          <w:rFonts w:ascii="仿宋_GB2312" w:eastAsia="仿宋_GB2312" w:hAnsi="Times New Roman" w:cs="Times New Roman" w:hint="eastAsia"/>
          <w:color w:val="292727"/>
          <w:kern w:val="0"/>
          <w:sz w:val="24"/>
          <w:szCs w:val="24"/>
          <w:shd w:val="clear" w:color="auto" w:fill="FFFFFF"/>
        </w:rPr>
        <w:t>“二元制”技术技能人才培养模式改革试点</w:t>
      </w:r>
      <w:r w:rsidR="006F3427">
        <w:rPr>
          <w:rFonts w:ascii="仿宋_GB2312" w:eastAsia="仿宋_GB2312" w:hAnsi="Times New Roman" w:cs="Times New Roman" w:hint="eastAsia"/>
          <w:color w:val="292727"/>
          <w:kern w:val="0"/>
          <w:sz w:val="24"/>
          <w:szCs w:val="24"/>
          <w:shd w:val="clear" w:color="auto" w:fill="FFFFFF"/>
        </w:rPr>
        <w:t>顺利推进和人才培养的质量，我们主要从以下几个方面开展项目推进。</w:t>
      </w:r>
    </w:p>
    <w:p w:rsidR="006F3427" w:rsidRDefault="006F3427" w:rsidP="00521A63">
      <w:pPr>
        <w:widowControl/>
        <w:shd w:val="clear" w:color="auto" w:fill="FFFFFF"/>
        <w:spacing w:line="360" w:lineRule="auto"/>
        <w:ind w:firstLineChars="200" w:firstLine="480"/>
        <w:rPr>
          <w:rFonts w:ascii="仿宋_GB2312" w:eastAsia="仿宋_GB2312" w:hAnsi="Times New Roman" w:cs="Times New Roman"/>
          <w:color w:val="292727"/>
          <w:kern w:val="0"/>
          <w:sz w:val="24"/>
          <w:szCs w:val="24"/>
          <w:shd w:val="clear" w:color="auto" w:fill="FFFFFF"/>
        </w:rPr>
      </w:pPr>
      <w:r>
        <w:rPr>
          <w:rFonts w:ascii="仿宋_GB2312" w:eastAsia="仿宋_GB2312" w:hAnsi="Times New Roman" w:cs="Times New Roman" w:hint="eastAsia"/>
          <w:color w:val="292727"/>
          <w:kern w:val="0"/>
          <w:sz w:val="24"/>
          <w:szCs w:val="24"/>
          <w:shd w:val="clear" w:color="auto" w:fill="FFFFFF"/>
        </w:rPr>
        <w:t>（一）认真遴选合作企业</w:t>
      </w:r>
    </w:p>
    <w:p w:rsidR="006F3427" w:rsidRPr="006F3427" w:rsidRDefault="006F3427" w:rsidP="006F3427">
      <w:pPr>
        <w:widowControl/>
        <w:shd w:val="clear" w:color="auto" w:fill="FFFFFF"/>
        <w:spacing w:line="360" w:lineRule="auto"/>
        <w:ind w:firstLineChars="200" w:firstLine="480"/>
        <w:rPr>
          <w:rFonts w:ascii="仿宋_GB2312" w:eastAsia="仿宋_GB2312" w:hAnsi="Times New Roman" w:cs="Times New Roman"/>
          <w:color w:val="292727"/>
          <w:kern w:val="0"/>
          <w:sz w:val="24"/>
          <w:szCs w:val="24"/>
          <w:shd w:val="clear" w:color="auto" w:fill="FFFFFF"/>
        </w:rPr>
      </w:pPr>
      <w:r>
        <w:rPr>
          <w:rFonts w:ascii="仿宋_GB2312" w:eastAsia="仿宋_GB2312" w:hAnsi="Times New Roman" w:cs="Times New Roman" w:hint="eastAsia"/>
          <w:color w:val="292727"/>
          <w:kern w:val="0"/>
          <w:sz w:val="24"/>
          <w:szCs w:val="24"/>
          <w:shd w:val="clear" w:color="auto" w:fill="FFFFFF"/>
        </w:rPr>
        <w:t>为了充分体现企业在人才培养过程中主体地位的作用，真正做到主体二元，申报之初我们选择</w:t>
      </w:r>
      <w:r w:rsidRPr="006F3427">
        <w:rPr>
          <w:rFonts w:ascii="仿宋_GB2312" w:eastAsia="仿宋_GB2312" w:hAnsi="Times New Roman" w:cs="Times New Roman" w:hint="eastAsia"/>
          <w:color w:val="292727"/>
          <w:kern w:val="0"/>
          <w:sz w:val="24"/>
          <w:szCs w:val="24"/>
          <w:shd w:val="clear" w:color="auto" w:fill="FFFFFF"/>
        </w:rPr>
        <w:t>的合作企业都是泉州</w:t>
      </w:r>
      <w:r>
        <w:rPr>
          <w:rFonts w:ascii="仿宋_GB2312" w:eastAsia="仿宋_GB2312" w:hAnsi="Times New Roman" w:cs="Times New Roman" w:hint="eastAsia"/>
          <w:color w:val="292727"/>
          <w:kern w:val="0"/>
          <w:sz w:val="24"/>
          <w:szCs w:val="24"/>
          <w:shd w:val="clear" w:color="auto" w:fill="FFFFFF"/>
        </w:rPr>
        <w:t>及厦门市区域内</w:t>
      </w:r>
      <w:r w:rsidRPr="006F3427">
        <w:rPr>
          <w:rFonts w:ascii="仿宋_GB2312" w:eastAsia="仿宋_GB2312" w:hAnsi="Times New Roman" w:cs="Times New Roman" w:hint="eastAsia"/>
          <w:color w:val="292727"/>
          <w:kern w:val="0"/>
          <w:sz w:val="24"/>
          <w:szCs w:val="24"/>
          <w:shd w:val="clear" w:color="auto" w:fill="FFFFFF"/>
        </w:rPr>
        <w:t>的大型企业，在行业内有着广泛的影响力。企业对人才的培养、储备、使用和晋升都有着一套较为科学严谨的操作程序，能够为试点专业员工（学生）的职业生涯做出较好的规划。这些企业拥有完善的安全管理体系，各种生产设备齐全且技术先进。企业拥有大量经验丰富的师傅，各企业都将自己的项目实施团队组建完成。</w:t>
      </w:r>
    </w:p>
    <w:p w:rsidR="006F3427" w:rsidRPr="006F3427" w:rsidRDefault="006F3427" w:rsidP="006F3427">
      <w:pPr>
        <w:widowControl/>
        <w:shd w:val="clear" w:color="auto" w:fill="FFFFFF"/>
        <w:spacing w:line="360" w:lineRule="auto"/>
        <w:ind w:firstLineChars="200" w:firstLine="480"/>
        <w:rPr>
          <w:rFonts w:ascii="仿宋_GB2312" w:eastAsia="仿宋_GB2312" w:hAnsi="Times New Roman" w:cs="Times New Roman"/>
          <w:color w:val="292727"/>
          <w:kern w:val="0"/>
          <w:sz w:val="24"/>
          <w:szCs w:val="24"/>
          <w:shd w:val="clear" w:color="auto" w:fill="FFFFFF"/>
        </w:rPr>
      </w:pPr>
      <w:r w:rsidRPr="006F3427">
        <w:rPr>
          <w:rFonts w:ascii="仿宋_GB2312" w:eastAsia="仿宋_GB2312" w:hAnsi="Times New Roman" w:cs="Times New Roman" w:hint="eastAsia"/>
          <w:color w:val="292727"/>
          <w:kern w:val="0"/>
          <w:sz w:val="24"/>
          <w:szCs w:val="24"/>
          <w:shd w:val="clear" w:color="auto" w:fill="FFFFFF"/>
        </w:rPr>
        <w:t>企业项目负责人积极开展招生宣传工作，确保能够实现办班最低人数要求和生源质量要求</w:t>
      </w:r>
      <w:r>
        <w:rPr>
          <w:rFonts w:ascii="仿宋_GB2312" w:eastAsia="仿宋_GB2312" w:hAnsi="Times New Roman" w:cs="Times New Roman" w:hint="eastAsia"/>
          <w:color w:val="292727"/>
          <w:kern w:val="0"/>
          <w:sz w:val="24"/>
          <w:szCs w:val="24"/>
          <w:shd w:val="clear" w:color="auto" w:fill="FFFFFF"/>
        </w:rPr>
        <w:t>。项目最后确定的厦门</w:t>
      </w:r>
      <w:r w:rsidRPr="006F3427">
        <w:rPr>
          <w:rFonts w:ascii="仿宋_GB2312" w:eastAsia="仿宋_GB2312" w:hAnsi="Times New Roman" w:cs="Times New Roman" w:hint="eastAsia"/>
          <w:color w:val="292727"/>
          <w:kern w:val="0"/>
          <w:sz w:val="24"/>
          <w:szCs w:val="24"/>
          <w:shd w:val="clear" w:color="auto" w:fill="FFFFFF"/>
        </w:rPr>
        <w:t>华洋海事公司</w:t>
      </w:r>
      <w:r>
        <w:rPr>
          <w:rFonts w:ascii="仿宋_GB2312" w:eastAsia="仿宋_GB2312" w:hAnsi="Times New Roman" w:cs="Times New Roman" w:hint="eastAsia"/>
          <w:color w:val="292727"/>
          <w:kern w:val="0"/>
          <w:sz w:val="24"/>
          <w:szCs w:val="24"/>
          <w:shd w:val="clear" w:color="auto" w:fill="FFFFFF"/>
        </w:rPr>
        <w:t>积极</w:t>
      </w:r>
      <w:r w:rsidRPr="006F3427">
        <w:rPr>
          <w:rFonts w:ascii="仿宋_GB2312" w:eastAsia="仿宋_GB2312" w:hAnsi="Times New Roman" w:cs="Times New Roman" w:hint="eastAsia"/>
          <w:color w:val="292727"/>
          <w:kern w:val="0"/>
          <w:sz w:val="24"/>
          <w:szCs w:val="24"/>
          <w:shd w:val="clear" w:color="auto" w:fill="FFFFFF"/>
        </w:rPr>
        <w:t>配合项目推进过程中学员的备考工作，为员工提供便利条件</w:t>
      </w:r>
      <w:r w:rsidR="0089570B">
        <w:rPr>
          <w:rFonts w:ascii="仿宋_GB2312" w:eastAsia="仿宋_GB2312" w:hAnsi="Times New Roman" w:cs="Times New Roman" w:hint="eastAsia"/>
          <w:color w:val="292727"/>
          <w:kern w:val="0"/>
          <w:sz w:val="24"/>
          <w:szCs w:val="24"/>
          <w:shd w:val="clear" w:color="auto" w:fill="FFFFFF"/>
        </w:rPr>
        <w:t>；根据国际邮轮乘务的职业特点，组织专业测试命题和考试，对报考学员进行了较为严格的筛选，保证了学员能够满足岗位职责和职业基本素质的要求</w:t>
      </w:r>
      <w:r w:rsidRPr="006F3427">
        <w:rPr>
          <w:rFonts w:ascii="仿宋_GB2312" w:eastAsia="仿宋_GB2312" w:hAnsi="Times New Roman" w:cs="Times New Roman" w:hint="eastAsia"/>
          <w:color w:val="292727"/>
          <w:kern w:val="0"/>
          <w:sz w:val="24"/>
          <w:szCs w:val="24"/>
          <w:shd w:val="clear" w:color="auto" w:fill="FFFFFF"/>
        </w:rPr>
        <w:t>。</w:t>
      </w:r>
    </w:p>
    <w:p w:rsidR="006F3427" w:rsidRPr="0089570B" w:rsidRDefault="0089570B" w:rsidP="00521A63">
      <w:pPr>
        <w:widowControl/>
        <w:shd w:val="clear" w:color="auto" w:fill="FFFFFF"/>
        <w:spacing w:line="360" w:lineRule="auto"/>
        <w:ind w:firstLineChars="200" w:firstLine="480"/>
        <w:rPr>
          <w:rFonts w:ascii="仿宋_GB2312" w:eastAsia="仿宋_GB2312" w:hAnsi="Times New Roman" w:cs="Times New Roman"/>
          <w:color w:val="292727"/>
          <w:kern w:val="0"/>
          <w:sz w:val="24"/>
          <w:szCs w:val="24"/>
          <w:shd w:val="clear" w:color="auto" w:fill="FFFFFF"/>
        </w:rPr>
      </w:pPr>
      <w:r>
        <w:rPr>
          <w:rFonts w:ascii="仿宋_GB2312" w:eastAsia="仿宋_GB2312" w:hAnsi="Times New Roman" w:cs="Times New Roman" w:hint="eastAsia"/>
          <w:color w:val="292727"/>
          <w:kern w:val="0"/>
          <w:sz w:val="24"/>
          <w:szCs w:val="24"/>
          <w:shd w:val="clear" w:color="auto" w:fill="FFFFFF"/>
        </w:rPr>
        <w:t>（二）制定考试</w:t>
      </w:r>
      <w:r w:rsidRPr="0089570B">
        <w:rPr>
          <w:rFonts w:ascii="仿宋_GB2312" w:eastAsia="仿宋_GB2312" w:hAnsi="Times New Roman" w:cs="Times New Roman" w:hint="eastAsia"/>
          <w:color w:val="292727"/>
          <w:kern w:val="0"/>
          <w:sz w:val="24"/>
          <w:szCs w:val="24"/>
          <w:shd w:val="clear" w:color="auto" w:fill="FFFFFF"/>
        </w:rPr>
        <w:t>管理办法及招生工作方案</w:t>
      </w:r>
    </w:p>
    <w:p w:rsidR="0089570B" w:rsidRDefault="0089570B" w:rsidP="0089570B">
      <w:pPr>
        <w:widowControl/>
        <w:shd w:val="clear" w:color="auto" w:fill="FFFFFF"/>
        <w:spacing w:line="360" w:lineRule="auto"/>
        <w:ind w:firstLineChars="200" w:firstLine="480"/>
        <w:rPr>
          <w:rFonts w:ascii="仿宋_GB2312" w:eastAsia="仿宋_GB2312" w:hAnsi="宋体" w:cs="宋体"/>
          <w:color w:val="000000"/>
          <w:kern w:val="0"/>
          <w:sz w:val="24"/>
          <w:szCs w:val="24"/>
        </w:rPr>
      </w:pPr>
      <w:r w:rsidRPr="00DC4C5C">
        <w:rPr>
          <w:rFonts w:ascii="仿宋_GB2312" w:eastAsia="仿宋_GB2312" w:hAnsi="宋体" w:cs="宋体" w:hint="eastAsia"/>
          <w:color w:val="000000"/>
          <w:kern w:val="0"/>
          <w:sz w:val="24"/>
          <w:szCs w:val="24"/>
        </w:rPr>
        <w:t>为</w:t>
      </w:r>
      <w:r>
        <w:rPr>
          <w:rFonts w:ascii="仿宋_GB2312" w:eastAsia="仿宋_GB2312" w:hAnsi="宋体" w:cs="宋体" w:hint="eastAsia"/>
          <w:color w:val="000000"/>
          <w:kern w:val="0"/>
          <w:sz w:val="24"/>
          <w:szCs w:val="24"/>
        </w:rPr>
        <w:t>规范我院</w:t>
      </w:r>
      <w:r w:rsidRPr="00D320FB">
        <w:rPr>
          <w:rFonts w:ascii="仿宋_GB2312" w:eastAsia="仿宋_GB2312" w:hAnsi="华文仿宋" w:hint="eastAsia"/>
          <w:color w:val="000000"/>
          <w:sz w:val="24"/>
          <w:szCs w:val="24"/>
          <w:shd w:val="clear" w:color="auto" w:fill="FFFFFF"/>
        </w:rPr>
        <w:t>“二元制”人才培养模式改革试点单独招生考试</w:t>
      </w:r>
      <w:r w:rsidRPr="00DC4C5C">
        <w:rPr>
          <w:rFonts w:ascii="仿宋_GB2312" w:eastAsia="仿宋_GB2312" w:hAnsi="宋体" w:cs="宋体" w:hint="eastAsia"/>
          <w:color w:val="000000"/>
          <w:kern w:val="0"/>
          <w:sz w:val="24"/>
          <w:szCs w:val="24"/>
        </w:rPr>
        <w:t>，特制订我院考试命题、</w:t>
      </w:r>
      <w:r>
        <w:rPr>
          <w:rFonts w:ascii="仿宋_GB2312" w:eastAsia="仿宋_GB2312" w:hAnsi="宋体" w:cs="宋体" w:hint="eastAsia"/>
          <w:color w:val="000000"/>
          <w:kern w:val="0"/>
          <w:sz w:val="24"/>
          <w:szCs w:val="24"/>
        </w:rPr>
        <w:t>试卷印刷与保管、监考</w:t>
      </w:r>
      <w:r w:rsidRPr="00DC4C5C">
        <w:rPr>
          <w:rFonts w:ascii="仿宋_GB2312" w:eastAsia="仿宋_GB2312" w:hAnsi="宋体" w:cs="宋体" w:hint="eastAsia"/>
          <w:color w:val="000000"/>
          <w:kern w:val="0"/>
          <w:sz w:val="24"/>
          <w:szCs w:val="24"/>
        </w:rPr>
        <w:t>、</w:t>
      </w:r>
      <w:r>
        <w:rPr>
          <w:rFonts w:ascii="仿宋_GB2312" w:eastAsia="仿宋_GB2312" w:hAnsi="宋体" w:cs="宋体" w:hint="eastAsia"/>
          <w:color w:val="000000"/>
          <w:kern w:val="0"/>
          <w:sz w:val="24"/>
          <w:szCs w:val="24"/>
        </w:rPr>
        <w:t>试卷传递、</w:t>
      </w:r>
      <w:r w:rsidRPr="00DC4C5C">
        <w:rPr>
          <w:rFonts w:ascii="仿宋_GB2312" w:eastAsia="仿宋_GB2312" w:hAnsi="宋体" w:cs="宋体" w:hint="eastAsia"/>
          <w:color w:val="000000"/>
          <w:kern w:val="0"/>
          <w:sz w:val="24"/>
          <w:szCs w:val="24"/>
        </w:rPr>
        <w:t>阅卷、成绩</w:t>
      </w:r>
      <w:r>
        <w:rPr>
          <w:rFonts w:ascii="仿宋_GB2312" w:eastAsia="仿宋_GB2312" w:hAnsi="宋体" w:cs="宋体" w:hint="eastAsia"/>
          <w:color w:val="000000"/>
          <w:kern w:val="0"/>
          <w:sz w:val="24"/>
          <w:szCs w:val="24"/>
        </w:rPr>
        <w:t>登录以及录取等各环节</w:t>
      </w:r>
      <w:r w:rsidRPr="00DC4C5C">
        <w:rPr>
          <w:rFonts w:ascii="仿宋_GB2312" w:eastAsia="仿宋_GB2312" w:hAnsi="宋体" w:cs="宋体" w:hint="eastAsia"/>
          <w:color w:val="000000"/>
          <w:kern w:val="0"/>
          <w:sz w:val="24"/>
          <w:szCs w:val="24"/>
        </w:rPr>
        <w:t>管理办法</w:t>
      </w:r>
      <w:r>
        <w:rPr>
          <w:rFonts w:ascii="仿宋_GB2312" w:eastAsia="仿宋_GB2312" w:hAnsi="宋体" w:cs="宋体" w:hint="eastAsia"/>
          <w:color w:val="000000"/>
          <w:kern w:val="0"/>
          <w:sz w:val="24"/>
          <w:szCs w:val="24"/>
        </w:rPr>
        <w:t>和招生工作方案</w:t>
      </w:r>
      <w:r w:rsidRPr="00DC4C5C">
        <w:rPr>
          <w:rFonts w:ascii="仿宋_GB2312" w:eastAsia="仿宋_GB2312" w:hAnsi="宋体" w:cs="宋体" w:hint="eastAsia"/>
          <w:color w:val="000000"/>
          <w:kern w:val="0"/>
          <w:sz w:val="24"/>
          <w:szCs w:val="24"/>
        </w:rPr>
        <w:t>。</w:t>
      </w:r>
    </w:p>
    <w:p w:rsidR="0089570B" w:rsidRDefault="0089570B" w:rsidP="0089570B">
      <w:pPr>
        <w:widowControl/>
        <w:shd w:val="clear" w:color="auto" w:fill="FFFFFF"/>
        <w:spacing w:line="360" w:lineRule="auto"/>
        <w:ind w:firstLineChars="200" w:firstLine="480"/>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根据企业和学院各自擅长的方面，文化知识和专业基本理论测试命题</w:t>
      </w:r>
      <w:r w:rsidR="003029BD">
        <w:rPr>
          <w:rFonts w:ascii="仿宋_GB2312" w:eastAsia="仿宋_GB2312" w:hAnsi="宋体" w:cs="宋体" w:hint="eastAsia"/>
          <w:color w:val="000000"/>
          <w:kern w:val="0"/>
          <w:sz w:val="24"/>
          <w:szCs w:val="24"/>
        </w:rPr>
        <w:t>和判卷</w:t>
      </w:r>
      <w:r>
        <w:rPr>
          <w:rFonts w:ascii="仿宋_GB2312" w:eastAsia="仿宋_GB2312" w:hAnsi="宋体" w:cs="宋体" w:hint="eastAsia"/>
          <w:color w:val="000000"/>
          <w:kern w:val="0"/>
          <w:sz w:val="24"/>
          <w:szCs w:val="24"/>
        </w:rPr>
        <w:t>由我院富有教学经验的教师完成；专业基本技能由企业专家命题，并采用现场考生抽题的形式逐个进行测试和打分，避免了考题重复造成的考题泄露</w:t>
      </w:r>
      <w:r w:rsidR="003029BD">
        <w:rPr>
          <w:rFonts w:ascii="仿宋_GB2312" w:eastAsia="仿宋_GB2312" w:hAnsi="宋体" w:cs="宋体" w:hint="eastAsia"/>
          <w:color w:val="000000"/>
          <w:kern w:val="0"/>
          <w:sz w:val="24"/>
          <w:szCs w:val="24"/>
        </w:rPr>
        <w:t>。招生考试各环节认真参照省考试院的实际做法，保证考试公正公平，参加考试的企业员工和社会考生均未提出异议。</w:t>
      </w:r>
    </w:p>
    <w:p w:rsidR="003029BD" w:rsidRDefault="003029BD" w:rsidP="0089570B">
      <w:pPr>
        <w:widowControl/>
        <w:shd w:val="clear" w:color="auto" w:fill="FFFFFF"/>
        <w:spacing w:line="360" w:lineRule="auto"/>
        <w:ind w:firstLineChars="200" w:firstLine="480"/>
        <w:rPr>
          <w:rFonts w:ascii="仿宋_GB2312" w:eastAsia="仿宋_GB2312" w:hAnsi="Times New Roman" w:cs="Times New Roman"/>
          <w:color w:val="292727"/>
          <w:kern w:val="0"/>
          <w:sz w:val="24"/>
          <w:szCs w:val="24"/>
          <w:shd w:val="clear" w:color="auto" w:fill="FFFFFF"/>
        </w:rPr>
      </w:pPr>
      <w:r w:rsidRPr="003029BD">
        <w:rPr>
          <w:rFonts w:ascii="仿宋_GB2312" w:eastAsia="仿宋_GB2312" w:hAnsi="Times New Roman" w:cs="Times New Roman" w:hint="eastAsia"/>
          <w:color w:val="292727"/>
          <w:kern w:val="0"/>
          <w:sz w:val="24"/>
          <w:szCs w:val="24"/>
          <w:shd w:val="clear" w:color="auto" w:fill="FFFFFF"/>
        </w:rPr>
        <w:t>（三）严格按照省厅规定的时间节点，完成招生考试的各项工作。</w:t>
      </w:r>
    </w:p>
    <w:p w:rsidR="003029BD" w:rsidRPr="003029BD" w:rsidRDefault="003029BD" w:rsidP="003029BD">
      <w:pPr>
        <w:shd w:val="clear" w:color="auto" w:fill="FFFFFF"/>
        <w:spacing w:line="360" w:lineRule="auto"/>
        <w:ind w:firstLineChars="200" w:firstLine="480"/>
        <w:rPr>
          <w:rFonts w:ascii="仿宋_GB2312" w:eastAsia="仿宋_GB2312" w:hAnsi="Times New Roman" w:cs="Times New Roman"/>
          <w:color w:val="292727"/>
          <w:kern w:val="0"/>
          <w:sz w:val="24"/>
          <w:szCs w:val="24"/>
          <w:shd w:val="clear" w:color="auto" w:fill="FFFFFF"/>
        </w:rPr>
      </w:pPr>
      <w:r>
        <w:rPr>
          <w:rFonts w:ascii="仿宋_GB2312" w:eastAsia="仿宋_GB2312" w:hAnsi="Times New Roman" w:cs="Times New Roman" w:hint="eastAsia"/>
          <w:color w:val="292727"/>
          <w:kern w:val="0"/>
          <w:sz w:val="24"/>
          <w:szCs w:val="24"/>
          <w:shd w:val="clear" w:color="auto" w:fill="FFFFFF"/>
        </w:rPr>
        <w:lastRenderedPageBreak/>
        <w:t>学院负责本项目的</w:t>
      </w:r>
      <w:r w:rsidR="00ED0D8B">
        <w:rPr>
          <w:rFonts w:ascii="仿宋_GB2312" w:eastAsia="仿宋_GB2312" w:hAnsi="Times New Roman" w:cs="Times New Roman" w:hint="eastAsia"/>
          <w:color w:val="292727"/>
          <w:kern w:val="0"/>
          <w:sz w:val="24"/>
          <w:szCs w:val="24"/>
          <w:shd w:val="clear" w:color="auto" w:fill="FFFFFF"/>
        </w:rPr>
        <w:t>几个成员</w:t>
      </w:r>
      <w:r>
        <w:rPr>
          <w:rFonts w:ascii="仿宋_GB2312" w:eastAsia="仿宋_GB2312" w:hAnsi="Times New Roman" w:cs="Times New Roman" w:hint="eastAsia"/>
          <w:color w:val="292727"/>
          <w:kern w:val="0"/>
          <w:sz w:val="24"/>
          <w:szCs w:val="24"/>
          <w:shd w:val="clear" w:color="auto" w:fill="FFFFFF"/>
        </w:rPr>
        <w:t>时刻跟踪省厅各部门关于“二元制”试点招生考试的工作安排，并召开了几次主题会议，</w:t>
      </w:r>
      <w:r w:rsidR="00ED0D8B">
        <w:rPr>
          <w:rFonts w:ascii="仿宋_GB2312" w:eastAsia="仿宋_GB2312" w:hAnsi="Times New Roman" w:cs="Times New Roman" w:hint="eastAsia"/>
          <w:color w:val="292727"/>
          <w:kern w:val="0"/>
          <w:sz w:val="24"/>
          <w:szCs w:val="24"/>
          <w:shd w:val="clear" w:color="auto" w:fill="FFFFFF"/>
        </w:rPr>
        <w:t>做好了多种工作预案和应对措施，因此能够在省厅做出决定后的第一时间内完成相应的工作。比如在专业培养方案的制定、考试方案制定、</w:t>
      </w:r>
      <w:r w:rsidR="00ED0D8B" w:rsidRPr="00ED0D8B">
        <w:rPr>
          <w:rFonts w:ascii="仿宋_GB2312" w:eastAsia="仿宋_GB2312" w:hAnsi="Times New Roman" w:cs="Times New Roman" w:hint="eastAsia"/>
          <w:color w:val="292727"/>
          <w:kern w:val="0"/>
          <w:sz w:val="24"/>
          <w:szCs w:val="24"/>
          <w:shd w:val="clear" w:color="auto" w:fill="FFFFFF"/>
        </w:rPr>
        <w:t>二元制技术技能人才培养模式改革试点工作任务书</w:t>
      </w:r>
      <w:r w:rsidR="00ED0D8B">
        <w:rPr>
          <w:rFonts w:ascii="仿宋_GB2312" w:eastAsia="仿宋_GB2312" w:hAnsi="Times New Roman" w:cs="Times New Roman" w:hint="eastAsia"/>
          <w:color w:val="292727"/>
          <w:kern w:val="0"/>
          <w:sz w:val="24"/>
          <w:szCs w:val="24"/>
          <w:shd w:val="clear" w:color="auto" w:fill="FFFFFF"/>
        </w:rPr>
        <w:t>的编写、招生考试及录取等项工作都是在极短时间内完成的。</w:t>
      </w:r>
    </w:p>
    <w:p w:rsidR="00ED0D8B" w:rsidRPr="0061425E" w:rsidRDefault="00ED0D8B" w:rsidP="0061425E">
      <w:pPr>
        <w:widowControl/>
        <w:shd w:val="clear" w:color="auto" w:fill="FFFFFF"/>
        <w:spacing w:line="360" w:lineRule="auto"/>
        <w:ind w:firstLineChars="200" w:firstLine="482"/>
        <w:rPr>
          <w:rFonts w:ascii="仿宋_GB2312" w:eastAsia="仿宋_GB2312" w:hAnsi="Times New Roman" w:cs="Times New Roman"/>
          <w:b/>
          <w:color w:val="292727"/>
          <w:kern w:val="0"/>
          <w:sz w:val="24"/>
          <w:szCs w:val="24"/>
          <w:shd w:val="clear" w:color="auto" w:fill="FFFFFF"/>
        </w:rPr>
      </w:pPr>
      <w:r w:rsidRPr="0061425E">
        <w:rPr>
          <w:rFonts w:ascii="仿宋_GB2312" w:eastAsia="仿宋_GB2312" w:hAnsi="Times New Roman" w:cs="Times New Roman" w:hint="eastAsia"/>
          <w:b/>
          <w:color w:val="292727"/>
          <w:kern w:val="0"/>
          <w:sz w:val="24"/>
          <w:szCs w:val="24"/>
          <w:shd w:val="clear" w:color="auto" w:fill="FFFFFF"/>
        </w:rPr>
        <w:t>二、项目</w:t>
      </w:r>
      <w:r w:rsidR="00521A63" w:rsidRPr="00521A63">
        <w:rPr>
          <w:rFonts w:ascii="仿宋_GB2312" w:eastAsia="仿宋_GB2312" w:hAnsi="Times New Roman" w:cs="Times New Roman" w:hint="eastAsia"/>
          <w:b/>
          <w:color w:val="292727"/>
          <w:kern w:val="0"/>
          <w:sz w:val="24"/>
          <w:szCs w:val="24"/>
          <w:shd w:val="clear" w:color="auto" w:fill="FFFFFF"/>
        </w:rPr>
        <w:t>成效</w:t>
      </w:r>
    </w:p>
    <w:p w:rsidR="00ED0D8B" w:rsidRDefault="00ED0D8B" w:rsidP="009975CB">
      <w:pPr>
        <w:widowControl/>
        <w:shd w:val="clear" w:color="auto" w:fill="FFFFFF"/>
        <w:overflowPunct w:val="0"/>
        <w:spacing w:line="360" w:lineRule="auto"/>
        <w:ind w:firstLineChars="200" w:firstLine="480"/>
        <w:rPr>
          <w:rFonts w:ascii="仿宋_GB2312" w:eastAsia="仿宋_GB2312" w:hAnsi="Times New Roman" w:cs="Times New Roman"/>
          <w:color w:val="292727"/>
          <w:kern w:val="0"/>
          <w:sz w:val="24"/>
          <w:szCs w:val="24"/>
          <w:shd w:val="clear" w:color="auto" w:fill="FFFFFF"/>
        </w:rPr>
      </w:pPr>
      <w:r>
        <w:rPr>
          <w:rFonts w:ascii="仿宋_GB2312" w:eastAsia="仿宋_GB2312" w:hAnsi="Times New Roman" w:cs="Times New Roman" w:hint="eastAsia"/>
          <w:color w:val="292727"/>
          <w:kern w:val="0"/>
          <w:sz w:val="24"/>
          <w:szCs w:val="24"/>
          <w:shd w:val="clear" w:color="auto" w:fill="FFFFFF"/>
        </w:rPr>
        <w:t>由于我们</w:t>
      </w:r>
      <w:r w:rsidR="0047033F">
        <w:rPr>
          <w:rFonts w:ascii="仿宋_GB2312" w:eastAsia="仿宋_GB2312" w:hAnsi="Times New Roman" w:cs="Times New Roman" w:hint="eastAsia"/>
          <w:color w:val="292727"/>
          <w:kern w:val="0"/>
          <w:sz w:val="24"/>
          <w:szCs w:val="24"/>
          <w:shd w:val="clear" w:color="auto" w:fill="FFFFFF"/>
        </w:rPr>
        <w:t>超前积极的工作，使我院的“二元制”试点项目推进十分顺利，</w:t>
      </w:r>
      <w:r w:rsidR="00744B19">
        <w:rPr>
          <w:rFonts w:ascii="仿宋_GB2312" w:eastAsia="仿宋_GB2312" w:hAnsi="Times New Roman" w:cs="Times New Roman" w:hint="eastAsia"/>
          <w:color w:val="292727"/>
          <w:kern w:val="0"/>
          <w:sz w:val="24"/>
          <w:szCs w:val="24"/>
          <w:shd w:val="clear" w:color="auto" w:fill="FFFFFF"/>
        </w:rPr>
        <w:t>经省教育厅批准确定录取33人。合作企业</w:t>
      </w:r>
      <w:r w:rsidR="0047033F">
        <w:rPr>
          <w:rFonts w:ascii="仿宋_GB2312" w:eastAsia="仿宋_GB2312" w:hAnsi="Times New Roman" w:cs="Times New Roman" w:hint="eastAsia"/>
          <w:color w:val="292727"/>
          <w:kern w:val="0"/>
          <w:sz w:val="24"/>
          <w:szCs w:val="24"/>
          <w:shd w:val="clear" w:color="auto" w:fill="FFFFFF"/>
        </w:rPr>
        <w:t>对未取得劳动合同的社会考生将在学生最后入学后签订劳动合同，确保学生的二元身份和其自身的利益。校企双方</w:t>
      </w:r>
      <w:r w:rsidR="003934F8">
        <w:rPr>
          <w:rFonts w:ascii="仿宋_GB2312" w:eastAsia="仿宋_GB2312" w:hAnsi="Times New Roman" w:cs="Times New Roman" w:hint="eastAsia"/>
          <w:color w:val="292727"/>
          <w:kern w:val="0"/>
          <w:sz w:val="24"/>
          <w:szCs w:val="24"/>
          <w:shd w:val="clear" w:color="auto" w:fill="FFFFFF"/>
        </w:rPr>
        <w:t>建立了定期会晤制度，学员住校</w:t>
      </w:r>
      <w:r w:rsidR="009975CB">
        <w:rPr>
          <w:rFonts w:ascii="仿宋_GB2312" w:eastAsia="仿宋_GB2312" w:hAnsi="Times New Roman" w:cs="Times New Roman" w:hint="eastAsia"/>
          <w:color w:val="292727"/>
          <w:kern w:val="0"/>
          <w:sz w:val="24"/>
          <w:szCs w:val="24"/>
          <w:shd w:val="clear" w:color="auto" w:fill="FFFFFF"/>
        </w:rPr>
        <w:t>学习</w:t>
      </w:r>
      <w:r w:rsidR="003934F8">
        <w:rPr>
          <w:rFonts w:ascii="仿宋_GB2312" w:eastAsia="仿宋_GB2312" w:hAnsi="Times New Roman" w:cs="Times New Roman" w:hint="eastAsia"/>
          <w:color w:val="292727"/>
          <w:kern w:val="0"/>
          <w:sz w:val="24"/>
          <w:szCs w:val="24"/>
          <w:shd w:val="clear" w:color="auto" w:fill="FFFFFF"/>
        </w:rPr>
        <w:t>期间，华洋公司派驻学院工作人员对学员进行管理。同时校企双方</w:t>
      </w:r>
      <w:r w:rsidR="0047033F">
        <w:rPr>
          <w:rFonts w:ascii="仿宋_GB2312" w:eastAsia="仿宋_GB2312" w:hAnsi="Times New Roman" w:cs="Times New Roman" w:hint="eastAsia"/>
          <w:color w:val="292727"/>
          <w:kern w:val="0"/>
          <w:sz w:val="24"/>
          <w:szCs w:val="24"/>
          <w:shd w:val="clear" w:color="auto" w:fill="FFFFFF"/>
        </w:rPr>
        <w:t>还就培养方案的实施细则和课程教学模式、教材以及课程考核方式等进行了详细的商榷</w:t>
      </w:r>
      <w:r w:rsidR="003934F8">
        <w:rPr>
          <w:rFonts w:ascii="仿宋_GB2312" w:eastAsia="仿宋_GB2312" w:hAnsi="Times New Roman" w:cs="Times New Roman" w:hint="eastAsia"/>
          <w:color w:val="292727"/>
          <w:kern w:val="0"/>
          <w:sz w:val="24"/>
          <w:szCs w:val="24"/>
          <w:shd w:val="clear" w:color="auto" w:fill="FFFFFF"/>
        </w:rPr>
        <w:t>，重新构建了课程体系</w:t>
      </w:r>
      <w:r w:rsidR="0047033F">
        <w:rPr>
          <w:rFonts w:ascii="仿宋_GB2312" w:eastAsia="仿宋_GB2312" w:hAnsi="Times New Roman" w:cs="Times New Roman" w:hint="eastAsia"/>
          <w:color w:val="292727"/>
          <w:kern w:val="0"/>
          <w:sz w:val="24"/>
          <w:szCs w:val="24"/>
          <w:shd w:val="clear" w:color="auto" w:fill="FFFFFF"/>
        </w:rPr>
        <w:t>。</w:t>
      </w:r>
    </w:p>
    <w:p w:rsidR="00521A63" w:rsidRPr="0061425E" w:rsidRDefault="0047033F" w:rsidP="0061425E">
      <w:pPr>
        <w:widowControl/>
        <w:shd w:val="clear" w:color="auto" w:fill="FFFFFF"/>
        <w:spacing w:line="360" w:lineRule="auto"/>
        <w:ind w:firstLineChars="200" w:firstLine="482"/>
        <w:rPr>
          <w:rFonts w:ascii="仿宋_GB2312" w:eastAsia="仿宋_GB2312" w:hAnsi="Times New Roman" w:cs="Times New Roman"/>
          <w:b/>
          <w:color w:val="292727"/>
          <w:kern w:val="0"/>
          <w:sz w:val="24"/>
          <w:szCs w:val="24"/>
          <w:shd w:val="clear" w:color="auto" w:fill="FFFFFF"/>
        </w:rPr>
      </w:pPr>
      <w:r w:rsidRPr="0061425E">
        <w:rPr>
          <w:rFonts w:ascii="仿宋_GB2312" w:eastAsia="仿宋_GB2312" w:hAnsi="Times New Roman" w:cs="Times New Roman" w:hint="eastAsia"/>
          <w:b/>
          <w:color w:val="292727"/>
          <w:kern w:val="0"/>
          <w:sz w:val="24"/>
          <w:szCs w:val="24"/>
          <w:shd w:val="clear" w:color="auto" w:fill="FFFFFF"/>
        </w:rPr>
        <w:t>三、对本项目推进的</w:t>
      </w:r>
      <w:r w:rsidR="00521A63" w:rsidRPr="00521A63">
        <w:rPr>
          <w:rFonts w:ascii="仿宋_GB2312" w:eastAsia="仿宋_GB2312" w:hAnsi="Times New Roman" w:cs="Times New Roman" w:hint="eastAsia"/>
          <w:b/>
          <w:color w:val="292727"/>
          <w:kern w:val="0"/>
          <w:sz w:val="24"/>
          <w:szCs w:val="24"/>
          <w:shd w:val="clear" w:color="auto" w:fill="FFFFFF"/>
        </w:rPr>
        <w:t>建议</w:t>
      </w:r>
    </w:p>
    <w:p w:rsidR="0047033F" w:rsidRPr="00521A63" w:rsidRDefault="0047033F" w:rsidP="00521A63">
      <w:pPr>
        <w:widowControl/>
        <w:shd w:val="clear" w:color="auto" w:fill="FFFFFF"/>
        <w:spacing w:line="360" w:lineRule="auto"/>
        <w:ind w:firstLineChars="200" w:firstLine="480"/>
        <w:rPr>
          <w:rFonts w:ascii="Times New Roman" w:eastAsia="宋体" w:hAnsi="Times New Roman" w:cs="Times New Roman"/>
          <w:color w:val="000000"/>
          <w:kern w:val="0"/>
          <w:sz w:val="24"/>
          <w:szCs w:val="24"/>
        </w:rPr>
      </w:pPr>
      <w:r>
        <w:rPr>
          <w:rFonts w:ascii="仿宋_GB2312" w:eastAsia="仿宋_GB2312" w:hAnsi="Times New Roman" w:cs="Times New Roman" w:hint="eastAsia"/>
          <w:color w:val="292727"/>
          <w:kern w:val="0"/>
          <w:sz w:val="24"/>
          <w:szCs w:val="24"/>
          <w:shd w:val="clear" w:color="auto" w:fill="FFFFFF"/>
        </w:rPr>
        <w:t>作为一个新生事物，从上到下都没有可以借鉴的经验，因此各项工作开展起来时，作为具体项目单位感觉到本项目从立项到考试录取的各个环节显得略为</w:t>
      </w:r>
      <w:r w:rsidR="00CB0BF5">
        <w:rPr>
          <w:rFonts w:ascii="仿宋_GB2312" w:eastAsia="仿宋_GB2312" w:hAnsi="Times New Roman" w:cs="Times New Roman" w:hint="eastAsia"/>
          <w:color w:val="292727"/>
          <w:kern w:val="0"/>
          <w:sz w:val="24"/>
          <w:szCs w:val="24"/>
          <w:shd w:val="clear" w:color="auto" w:fill="FFFFFF"/>
        </w:rPr>
        <w:t>仓促</w:t>
      </w:r>
      <w:r>
        <w:rPr>
          <w:rFonts w:ascii="仿宋_GB2312" w:eastAsia="仿宋_GB2312" w:hAnsi="Times New Roman" w:cs="Times New Roman" w:hint="eastAsia"/>
          <w:color w:val="292727"/>
          <w:kern w:val="0"/>
          <w:sz w:val="24"/>
          <w:szCs w:val="24"/>
          <w:shd w:val="clear" w:color="auto" w:fill="FFFFFF"/>
        </w:rPr>
        <w:t>，各校的立项和录取没有按照统一的时间节点，有的项目甚至拖后了近一个月，使得试点的严肃性大打折扣。希望在2017年的“二元制”</w:t>
      </w:r>
      <w:r w:rsidR="00CB0BF5" w:rsidRPr="00D320FB">
        <w:rPr>
          <w:rFonts w:ascii="仿宋_GB2312" w:eastAsia="仿宋_GB2312" w:hAnsi="华文仿宋" w:hint="eastAsia"/>
          <w:color w:val="000000"/>
          <w:sz w:val="24"/>
          <w:szCs w:val="24"/>
          <w:shd w:val="clear" w:color="auto" w:fill="FFFFFF"/>
        </w:rPr>
        <w:t>人才培养模式改革</w:t>
      </w:r>
      <w:r w:rsidR="00CB0BF5">
        <w:rPr>
          <w:rFonts w:ascii="仿宋_GB2312" w:eastAsia="仿宋_GB2312" w:hAnsi="华文仿宋" w:hint="eastAsia"/>
          <w:color w:val="000000"/>
          <w:sz w:val="24"/>
          <w:szCs w:val="24"/>
          <w:shd w:val="clear" w:color="auto" w:fill="FFFFFF"/>
        </w:rPr>
        <w:t>项目的各项工作中，能够比较严谨规范。同时还应借鉴职工大学的人才培养模式，开展企业一线岗位的实用型人才的培养，放宽教育主管部门对各院的专业限制，只要能满足质量要求和成建制班级规模，就不要做过多的限制，真正体现人才供给侧的改革特点，在人才培养过程中体现用人单位的意志，发挥企业主动参与人才培养的积极性。</w:t>
      </w:r>
    </w:p>
    <w:p w:rsidR="00CB0BF5" w:rsidRPr="0061425E" w:rsidRDefault="00CB0BF5" w:rsidP="0061425E">
      <w:pPr>
        <w:widowControl/>
        <w:shd w:val="clear" w:color="auto" w:fill="FFFFFF"/>
        <w:spacing w:line="360" w:lineRule="auto"/>
        <w:ind w:firstLineChars="200" w:firstLine="482"/>
        <w:rPr>
          <w:rFonts w:ascii="仿宋_GB2312" w:eastAsia="仿宋_GB2312" w:hAnsi="Times New Roman" w:cs="Times New Roman"/>
          <w:b/>
          <w:color w:val="292727"/>
          <w:kern w:val="0"/>
          <w:sz w:val="24"/>
          <w:szCs w:val="24"/>
          <w:shd w:val="clear" w:color="auto" w:fill="FFFFFF"/>
        </w:rPr>
      </w:pPr>
      <w:r w:rsidRPr="0061425E">
        <w:rPr>
          <w:rFonts w:ascii="仿宋_GB2312" w:eastAsia="仿宋_GB2312" w:hAnsi="Times New Roman" w:cs="Times New Roman" w:hint="eastAsia"/>
          <w:b/>
          <w:color w:val="292727"/>
          <w:kern w:val="0"/>
          <w:sz w:val="24"/>
          <w:szCs w:val="24"/>
          <w:shd w:val="clear" w:color="auto" w:fill="FFFFFF"/>
        </w:rPr>
        <w:t>四、</w:t>
      </w:r>
      <w:r w:rsidR="00521A63" w:rsidRPr="00521A63">
        <w:rPr>
          <w:rFonts w:ascii="仿宋_GB2312" w:eastAsia="仿宋_GB2312" w:hAnsi="Times New Roman" w:cs="Times New Roman" w:hint="eastAsia"/>
          <w:b/>
          <w:color w:val="292727"/>
          <w:kern w:val="0"/>
          <w:sz w:val="24"/>
          <w:szCs w:val="24"/>
          <w:shd w:val="clear" w:color="auto" w:fill="FFFFFF"/>
        </w:rPr>
        <w:t>2017年的工作计划</w:t>
      </w:r>
    </w:p>
    <w:p w:rsidR="00F35717" w:rsidRDefault="00CB0BF5" w:rsidP="00F35717">
      <w:pPr>
        <w:widowControl/>
        <w:shd w:val="clear" w:color="auto" w:fill="FFFFFF"/>
        <w:spacing w:line="360" w:lineRule="auto"/>
        <w:ind w:firstLineChars="200" w:firstLine="480"/>
        <w:rPr>
          <w:rFonts w:ascii="仿宋_GB2312" w:eastAsia="仿宋_GB2312" w:hAnsi="Times New Roman" w:cs="Times New Roman"/>
          <w:color w:val="292727"/>
          <w:kern w:val="0"/>
          <w:sz w:val="24"/>
          <w:szCs w:val="24"/>
          <w:shd w:val="clear" w:color="auto" w:fill="FFFFFF"/>
        </w:rPr>
      </w:pPr>
      <w:r>
        <w:rPr>
          <w:rFonts w:ascii="仿宋_GB2312" w:eastAsia="仿宋_GB2312" w:hAnsi="Times New Roman" w:cs="Times New Roman" w:hint="eastAsia"/>
          <w:color w:val="292727"/>
          <w:kern w:val="0"/>
          <w:sz w:val="24"/>
          <w:szCs w:val="24"/>
          <w:shd w:val="clear" w:color="auto" w:fill="FFFFFF"/>
        </w:rPr>
        <w:t>对照</w:t>
      </w:r>
      <w:r w:rsidRPr="00521A63">
        <w:rPr>
          <w:rFonts w:ascii="仿宋_GB2312" w:eastAsia="仿宋_GB2312" w:hAnsi="Times New Roman" w:cs="Times New Roman" w:hint="eastAsia"/>
          <w:color w:val="292727"/>
          <w:kern w:val="0"/>
          <w:sz w:val="24"/>
          <w:szCs w:val="24"/>
          <w:shd w:val="clear" w:color="auto" w:fill="FFFFFF"/>
        </w:rPr>
        <w:t>我市服务经济社会发展和产业转型升级需求</w:t>
      </w:r>
      <w:r>
        <w:rPr>
          <w:rFonts w:ascii="仿宋_GB2312" w:eastAsia="仿宋_GB2312" w:hAnsi="Times New Roman" w:cs="Times New Roman" w:hint="eastAsia"/>
          <w:color w:val="292727"/>
          <w:kern w:val="0"/>
          <w:sz w:val="24"/>
          <w:szCs w:val="24"/>
          <w:shd w:val="clear" w:color="auto" w:fill="FFFFFF"/>
        </w:rPr>
        <w:t>，为了</w:t>
      </w:r>
      <w:r w:rsidR="00F35717" w:rsidRPr="00F35717">
        <w:rPr>
          <w:rFonts w:ascii="仿宋_GB2312" w:eastAsia="仿宋_GB2312" w:hAnsi="Times New Roman" w:cs="Times New Roman" w:hint="eastAsia"/>
          <w:color w:val="292727"/>
          <w:kern w:val="0"/>
          <w:sz w:val="24"/>
          <w:szCs w:val="24"/>
          <w:shd w:val="clear" w:color="auto" w:fill="FFFFFF"/>
        </w:rPr>
        <w:t>主动适应泉州经济发展需求，对照泉州制造“2025”发展纲要，</w:t>
      </w:r>
      <w:r w:rsidR="00F35717">
        <w:rPr>
          <w:rFonts w:ascii="仿宋_GB2312" w:eastAsia="仿宋_GB2312" w:hAnsi="Times New Roman" w:cs="Times New Roman" w:hint="eastAsia"/>
          <w:color w:val="292727"/>
          <w:kern w:val="0"/>
          <w:sz w:val="24"/>
          <w:szCs w:val="24"/>
          <w:shd w:val="clear" w:color="auto" w:fill="FFFFFF"/>
        </w:rPr>
        <w:t>2017年我们工作目标是：</w:t>
      </w:r>
      <w:r w:rsidR="00F35717" w:rsidRPr="00F35717">
        <w:rPr>
          <w:rFonts w:ascii="仿宋_GB2312" w:eastAsia="仿宋_GB2312" w:hAnsi="Times New Roman" w:cs="Times New Roman" w:hint="eastAsia"/>
          <w:color w:val="292727"/>
          <w:kern w:val="0"/>
          <w:sz w:val="24"/>
          <w:szCs w:val="24"/>
          <w:shd w:val="clear" w:color="auto" w:fill="FFFFFF"/>
        </w:rPr>
        <w:t>努力拓展专业方向，为企业</w:t>
      </w:r>
      <w:r w:rsidR="00F35717">
        <w:rPr>
          <w:rFonts w:ascii="仿宋_GB2312" w:eastAsia="仿宋_GB2312" w:hAnsi="Times New Roman" w:cs="Times New Roman" w:hint="eastAsia"/>
          <w:color w:val="292727"/>
          <w:kern w:val="0"/>
          <w:sz w:val="24"/>
          <w:szCs w:val="24"/>
          <w:shd w:val="clear" w:color="auto" w:fill="FFFFFF"/>
        </w:rPr>
        <w:t>及</w:t>
      </w:r>
      <w:r w:rsidR="00F35717" w:rsidRPr="00F35717">
        <w:rPr>
          <w:rFonts w:ascii="仿宋_GB2312" w:eastAsia="仿宋_GB2312" w:hAnsi="Times New Roman" w:cs="Times New Roman" w:hint="eastAsia"/>
          <w:color w:val="292727"/>
          <w:kern w:val="0"/>
          <w:sz w:val="24"/>
          <w:szCs w:val="24"/>
          <w:shd w:val="clear" w:color="auto" w:fill="FFFFFF"/>
        </w:rPr>
        <w:t>地方经济发展服务。</w:t>
      </w:r>
    </w:p>
    <w:p w:rsidR="00F35717" w:rsidRDefault="00F35717" w:rsidP="00F35717">
      <w:pPr>
        <w:widowControl/>
        <w:shd w:val="clear" w:color="auto" w:fill="FFFFFF"/>
        <w:spacing w:line="360" w:lineRule="auto"/>
        <w:ind w:firstLineChars="200" w:firstLine="480"/>
        <w:rPr>
          <w:rFonts w:ascii="仿宋_GB2312" w:eastAsia="仿宋_GB2312" w:hAnsi="Times New Roman" w:cs="Times New Roman"/>
          <w:color w:val="292727"/>
          <w:kern w:val="0"/>
          <w:sz w:val="24"/>
          <w:szCs w:val="24"/>
          <w:shd w:val="clear" w:color="auto" w:fill="FFFFFF"/>
        </w:rPr>
      </w:pPr>
      <w:r>
        <w:rPr>
          <w:rFonts w:ascii="仿宋_GB2312" w:eastAsia="仿宋_GB2312" w:hAnsi="Times New Roman" w:cs="Times New Roman" w:hint="eastAsia"/>
          <w:color w:val="292727"/>
          <w:kern w:val="0"/>
          <w:sz w:val="24"/>
          <w:szCs w:val="24"/>
          <w:shd w:val="clear" w:color="auto" w:fill="FFFFFF"/>
        </w:rPr>
        <w:t>（一）巩固已经洽谈的企业合作关系，争取新专业参与到项目试点中来</w:t>
      </w:r>
    </w:p>
    <w:p w:rsidR="00F35717" w:rsidRPr="00F35717" w:rsidRDefault="00F35717" w:rsidP="00F35717">
      <w:pPr>
        <w:widowControl/>
        <w:shd w:val="clear" w:color="auto" w:fill="FFFFFF"/>
        <w:spacing w:line="360" w:lineRule="auto"/>
        <w:ind w:firstLineChars="200" w:firstLine="480"/>
        <w:rPr>
          <w:rFonts w:ascii="仿宋_GB2312" w:eastAsia="仿宋_GB2312" w:hAnsi="Times New Roman" w:cs="Times New Roman"/>
          <w:color w:val="292727"/>
          <w:kern w:val="0"/>
          <w:sz w:val="24"/>
          <w:szCs w:val="24"/>
          <w:shd w:val="clear" w:color="auto" w:fill="FFFFFF"/>
        </w:rPr>
      </w:pPr>
      <w:r w:rsidRPr="00F35717">
        <w:rPr>
          <w:rFonts w:ascii="仿宋_GB2312" w:eastAsia="仿宋_GB2312" w:hAnsi="Times New Roman" w:cs="Times New Roman" w:hint="eastAsia"/>
          <w:color w:val="292727"/>
          <w:kern w:val="0"/>
          <w:sz w:val="24"/>
          <w:szCs w:val="24"/>
          <w:shd w:val="clear" w:color="auto" w:fill="FFFFFF"/>
        </w:rPr>
        <w:t>通过前期与企业深入交流，我们了解了企业对人才培养的具体要求。学院与多家企业建立</w:t>
      </w:r>
      <w:r>
        <w:rPr>
          <w:rFonts w:ascii="仿宋_GB2312" w:eastAsia="仿宋_GB2312" w:hAnsi="Times New Roman" w:cs="Times New Roman" w:hint="eastAsia"/>
          <w:color w:val="292727"/>
          <w:kern w:val="0"/>
          <w:sz w:val="24"/>
          <w:szCs w:val="24"/>
          <w:shd w:val="clear" w:color="auto" w:fill="FFFFFF"/>
        </w:rPr>
        <w:t>了</w:t>
      </w:r>
      <w:r w:rsidRPr="00F35717">
        <w:rPr>
          <w:rFonts w:ascii="仿宋_GB2312" w:eastAsia="仿宋_GB2312" w:hAnsi="Times New Roman" w:cs="Times New Roman" w:hint="eastAsia"/>
          <w:color w:val="292727"/>
          <w:kern w:val="0"/>
          <w:sz w:val="24"/>
          <w:szCs w:val="24"/>
          <w:shd w:val="clear" w:color="auto" w:fill="FFFFFF"/>
        </w:rPr>
        <w:t>友好合作办学关系，</w:t>
      </w:r>
      <w:r>
        <w:rPr>
          <w:rFonts w:ascii="仿宋_GB2312" w:eastAsia="仿宋_GB2312" w:hAnsi="Times New Roman" w:cs="Times New Roman" w:hint="eastAsia"/>
          <w:color w:val="292727"/>
          <w:kern w:val="0"/>
          <w:sz w:val="24"/>
          <w:szCs w:val="24"/>
          <w:shd w:val="clear" w:color="auto" w:fill="FFFFFF"/>
        </w:rPr>
        <w:t>今年原计划是开展四个专业的试点，但是由于省厅的统筹规划，只允许我们开展国际邮轮乘务管理一个专业进行项目试点。2017年，我们将继续</w:t>
      </w:r>
      <w:r w:rsidRPr="00F35717">
        <w:rPr>
          <w:rFonts w:ascii="仿宋_GB2312" w:eastAsia="仿宋_GB2312" w:hAnsi="Times New Roman" w:cs="Times New Roman" w:hint="eastAsia"/>
          <w:color w:val="292727"/>
          <w:kern w:val="0"/>
          <w:sz w:val="24"/>
          <w:szCs w:val="24"/>
          <w:shd w:val="clear" w:color="auto" w:fill="FFFFFF"/>
        </w:rPr>
        <w:t>积极拓展校外合作，除了与主体专业相关的行业公司进行有效合作外，</w:t>
      </w:r>
      <w:r>
        <w:rPr>
          <w:rFonts w:ascii="仿宋_GB2312" w:eastAsia="仿宋_GB2312" w:hAnsi="Times New Roman" w:cs="Times New Roman" w:hint="eastAsia"/>
          <w:color w:val="292727"/>
          <w:kern w:val="0"/>
          <w:sz w:val="24"/>
          <w:szCs w:val="24"/>
          <w:shd w:val="clear" w:color="auto" w:fill="FFFFFF"/>
        </w:rPr>
        <w:t>积极</w:t>
      </w:r>
      <w:r w:rsidRPr="00F35717">
        <w:rPr>
          <w:rFonts w:ascii="仿宋_GB2312" w:eastAsia="仿宋_GB2312" w:hAnsi="Times New Roman" w:cs="Times New Roman" w:hint="eastAsia"/>
          <w:color w:val="292727"/>
          <w:kern w:val="0"/>
          <w:sz w:val="24"/>
          <w:szCs w:val="24"/>
          <w:shd w:val="clear" w:color="auto" w:fill="FFFFFF"/>
        </w:rPr>
        <w:t>与泉州</w:t>
      </w:r>
      <w:r w:rsidR="0016407E">
        <w:rPr>
          <w:rFonts w:ascii="仿宋_GB2312" w:eastAsia="仿宋_GB2312" w:hAnsi="Times New Roman" w:cs="Times New Roman" w:hint="eastAsia"/>
          <w:color w:val="292727"/>
          <w:kern w:val="0"/>
          <w:sz w:val="24"/>
          <w:szCs w:val="24"/>
          <w:shd w:val="clear" w:color="auto" w:fill="FFFFFF"/>
        </w:rPr>
        <w:t>三星电气</w:t>
      </w:r>
      <w:r w:rsidRPr="00F35717">
        <w:rPr>
          <w:rFonts w:ascii="仿宋_GB2312" w:eastAsia="仿宋_GB2312" w:hAnsi="Times New Roman" w:cs="Times New Roman" w:hint="eastAsia"/>
          <w:color w:val="292727"/>
          <w:kern w:val="0"/>
          <w:sz w:val="24"/>
          <w:szCs w:val="24"/>
          <w:shd w:val="clear" w:color="auto" w:fill="FFFFFF"/>
        </w:rPr>
        <w:t>有限公司、泉州佳乐电器有限公司等企业进行</w:t>
      </w:r>
      <w:r w:rsidR="000553F0">
        <w:rPr>
          <w:rFonts w:ascii="仿宋_GB2312" w:eastAsia="仿宋_GB2312" w:hAnsi="Times New Roman" w:cs="Times New Roman" w:hint="eastAsia"/>
          <w:color w:val="292727"/>
          <w:kern w:val="0"/>
          <w:sz w:val="24"/>
          <w:szCs w:val="24"/>
          <w:shd w:val="clear" w:color="auto" w:fill="FFFFFF"/>
        </w:rPr>
        <w:t>接触</w:t>
      </w:r>
      <w:r w:rsidRPr="00F35717">
        <w:rPr>
          <w:rFonts w:ascii="仿宋_GB2312" w:eastAsia="仿宋_GB2312" w:hAnsi="Times New Roman" w:cs="Times New Roman" w:hint="eastAsia"/>
          <w:color w:val="292727"/>
          <w:kern w:val="0"/>
          <w:sz w:val="24"/>
          <w:szCs w:val="24"/>
          <w:shd w:val="clear" w:color="auto" w:fill="FFFFFF"/>
        </w:rPr>
        <w:t>，</w:t>
      </w:r>
      <w:r w:rsidR="000553F0">
        <w:rPr>
          <w:rFonts w:ascii="仿宋_GB2312" w:eastAsia="仿宋_GB2312" w:hAnsi="Times New Roman" w:cs="Times New Roman" w:hint="eastAsia"/>
          <w:color w:val="292727"/>
          <w:kern w:val="0"/>
          <w:sz w:val="24"/>
          <w:szCs w:val="24"/>
          <w:shd w:val="clear" w:color="auto" w:fill="FFFFFF"/>
        </w:rPr>
        <w:t>按照已经商定的合作意向，</w:t>
      </w:r>
      <w:r w:rsidRPr="00F35717">
        <w:rPr>
          <w:rFonts w:ascii="仿宋_GB2312" w:eastAsia="仿宋_GB2312" w:hAnsi="Times New Roman" w:cs="Times New Roman" w:hint="eastAsia"/>
          <w:color w:val="292727"/>
          <w:kern w:val="0"/>
          <w:sz w:val="24"/>
          <w:szCs w:val="24"/>
          <w:shd w:val="clear" w:color="auto" w:fill="FFFFFF"/>
        </w:rPr>
        <w:t>研究为企业培养专门人才的具体实施方案。</w:t>
      </w:r>
    </w:p>
    <w:p w:rsidR="000553F0" w:rsidRDefault="000553F0" w:rsidP="000553F0">
      <w:pPr>
        <w:widowControl/>
        <w:shd w:val="clear" w:color="auto" w:fill="FFFFFF"/>
        <w:spacing w:line="360" w:lineRule="auto"/>
        <w:ind w:firstLineChars="200" w:firstLine="480"/>
        <w:rPr>
          <w:rFonts w:ascii="仿宋_GB2312" w:eastAsia="仿宋_GB2312" w:hAnsi="Times New Roman" w:cs="Times New Roman"/>
          <w:color w:val="292727"/>
          <w:kern w:val="0"/>
          <w:sz w:val="24"/>
          <w:szCs w:val="24"/>
          <w:shd w:val="clear" w:color="auto" w:fill="FFFFFF"/>
        </w:rPr>
      </w:pPr>
      <w:r>
        <w:rPr>
          <w:rFonts w:ascii="仿宋_GB2312" w:eastAsia="仿宋_GB2312" w:hAnsi="Times New Roman" w:cs="Times New Roman" w:hint="eastAsia"/>
          <w:color w:val="292727"/>
          <w:kern w:val="0"/>
          <w:sz w:val="24"/>
          <w:szCs w:val="24"/>
          <w:shd w:val="clear" w:color="auto" w:fill="FFFFFF"/>
        </w:rPr>
        <w:lastRenderedPageBreak/>
        <w:t>（二）力争扩展“二元制”试点项目的专业范围，真正为泉州市的主打产业培养急需的人才</w:t>
      </w:r>
    </w:p>
    <w:p w:rsidR="00CB0BF5" w:rsidRDefault="000553F0" w:rsidP="000553F0">
      <w:pPr>
        <w:shd w:val="clear" w:color="auto" w:fill="FFFFFF"/>
        <w:spacing w:line="360" w:lineRule="auto"/>
        <w:ind w:firstLineChars="200" w:firstLine="480"/>
        <w:rPr>
          <w:rFonts w:ascii="仿宋_GB2312" w:eastAsia="仿宋_GB2312" w:hAnsi="Times New Roman" w:cs="Times New Roman"/>
          <w:color w:val="292727"/>
          <w:kern w:val="0"/>
          <w:sz w:val="24"/>
          <w:szCs w:val="24"/>
          <w:shd w:val="clear" w:color="auto" w:fill="FFFFFF"/>
        </w:rPr>
      </w:pPr>
      <w:r>
        <w:rPr>
          <w:rFonts w:ascii="仿宋_GB2312" w:eastAsia="仿宋_GB2312" w:hAnsi="Times New Roman" w:cs="Times New Roman" w:hint="eastAsia"/>
          <w:color w:val="292727"/>
          <w:kern w:val="0"/>
          <w:sz w:val="24"/>
          <w:szCs w:val="24"/>
          <w:shd w:val="clear" w:color="auto" w:fill="FFFFFF"/>
        </w:rPr>
        <w:t>根据我院已经具备的基础条件，重点开展数控专业和移动互联技术应用专业进行试点的申报工作，利用企业的技术优势和人才优势，通过项目立项和实施，逐步将我院的制造类专业打造成新的发展点和办学效益增长点。由于这</w:t>
      </w:r>
      <w:r w:rsidR="0016407E">
        <w:rPr>
          <w:rFonts w:ascii="仿宋_GB2312" w:eastAsia="仿宋_GB2312" w:hAnsi="Times New Roman" w:cs="Times New Roman" w:hint="eastAsia"/>
          <w:color w:val="292727"/>
          <w:kern w:val="0"/>
          <w:sz w:val="24"/>
          <w:szCs w:val="24"/>
          <w:shd w:val="clear" w:color="auto" w:fill="FFFFFF"/>
        </w:rPr>
        <w:t>些</w:t>
      </w:r>
      <w:r>
        <w:rPr>
          <w:rFonts w:ascii="仿宋_GB2312" w:eastAsia="仿宋_GB2312" w:hAnsi="Times New Roman" w:cs="Times New Roman" w:hint="eastAsia"/>
          <w:color w:val="292727"/>
          <w:kern w:val="0"/>
          <w:sz w:val="24"/>
          <w:szCs w:val="24"/>
          <w:shd w:val="clear" w:color="auto" w:fill="FFFFFF"/>
        </w:rPr>
        <w:t>专业与我市的产业发展的契合度高，企业对人才的需求旺盛，企业可以通过项目的实施，达到稳定技术人员队伍，提高技术人员素质的目的。</w:t>
      </w:r>
    </w:p>
    <w:p w:rsidR="000553F0" w:rsidRPr="0061425E" w:rsidRDefault="000553F0" w:rsidP="0061425E">
      <w:pPr>
        <w:shd w:val="clear" w:color="auto" w:fill="FFFFFF"/>
        <w:spacing w:line="360" w:lineRule="auto"/>
        <w:ind w:firstLineChars="200" w:firstLine="480"/>
        <w:rPr>
          <w:rFonts w:ascii="仿宋_GB2312" w:eastAsia="仿宋_GB2312" w:hAnsi="Times New Roman" w:cs="Times New Roman"/>
          <w:color w:val="292727"/>
          <w:kern w:val="0"/>
          <w:sz w:val="24"/>
          <w:szCs w:val="24"/>
          <w:shd w:val="clear" w:color="auto" w:fill="FFFFFF"/>
        </w:rPr>
      </w:pPr>
      <w:r w:rsidRPr="0061425E">
        <w:rPr>
          <w:rFonts w:ascii="仿宋_GB2312" w:eastAsia="仿宋_GB2312" w:hAnsi="Times New Roman" w:cs="Times New Roman" w:hint="eastAsia"/>
          <w:color w:val="292727"/>
          <w:kern w:val="0"/>
          <w:sz w:val="24"/>
          <w:szCs w:val="24"/>
          <w:shd w:val="clear" w:color="auto" w:fill="FFFFFF"/>
        </w:rPr>
        <w:t>（三）继续做好试点</w:t>
      </w:r>
      <w:r w:rsidR="008D1C02" w:rsidRPr="0061425E">
        <w:rPr>
          <w:rFonts w:ascii="仿宋_GB2312" w:eastAsia="仿宋_GB2312" w:hAnsi="Times New Roman" w:cs="Times New Roman" w:hint="eastAsia"/>
          <w:color w:val="292727"/>
          <w:kern w:val="0"/>
          <w:sz w:val="24"/>
          <w:szCs w:val="24"/>
          <w:shd w:val="clear" w:color="auto" w:fill="FFFFFF"/>
        </w:rPr>
        <w:t>项目的立项、招生、考试和录取等各环节工作，高质量推进项目</w:t>
      </w:r>
    </w:p>
    <w:p w:rsidR="008D1C02" w:rsidRPr="0061425E" w:rsidRDefault="008D1C02" w:rsidP="0061425E">
      <w:pPr>
        <w:shd w:val="clear" w:color="auto" w:fill="FFFFFF"/>
        <w:spacing w:line="360" w:lineRule="auto"/>
        <w:ind w:firstLineChars="200" w:firstLine="480"/>
        <w:rPr>
          <w:rFonts w:ascii="仿宋_GB2312" w:eastAsia="仿宋_GB2312" w:hAnsi="Times New Roman" w:cs="Times New Roman"/>
          <w:color w:val="292727"/>
          <w:kern w:val="0"/>
          <w:sz w:val="24"/>
          <w:szCs w:val="24"/>
          <w:shd w:val="clear" w:color="auto" w:fill="FFFFFF"/>
        </w:rPr>
      </w:pPr>
      <w:r w:rsidRPr="0061425E">
        <w:rPr>
          <w:rFonts w:ascii="仿宋_GB2312" w:eastAsia="仿宋_GB2312" w:hAnsi="Times New Roman" w:cs="Times New Roman" w:hint="eastAsia"/>
          <w:color w:val="292727"/>
          <w:kern w:val="0"/>
          <w:sz w:val="24"/>
          <w:szCs w:val="24"/>
          <w:shd w:val="clear" w:color="auto" w:fill="FFFFFF"/>
        </w:rPr>
        <w:t>提前做好项目申报书的编写，根据项目落地情况，编制项目任务书，做好招生考试工作计划，从各项工作的细节入手，防止</w:t>
      </w:r>
      <w:r w:rsidR="00A409E4" w:rsidRPr="0061425E">
        <w:rPr>
          <w:rFonts w:ascii="仿宋_GB2312" w:eastAsia="仿宋_GB2312" w:hAnsi="Times New Roman" w:cs="Times New Roman" w:hint="eastAsia"/>
          <w:color w:val="292727"/>
          <w:kern w:val="0"/>
          <w:sz w:val="24"/>
          <w:szCs w:val="24"/>
          <w:shd w:val="clear" w:color="auto" w:fill="FFFFFF"/>
        </w:rPr>
        <w:t>出现</w:t>
      </w:r>
      <w:r w:rsidRPr="0061425E">
        <w:rPr>
          <w:rFonts w:ascii="仿宋_GB2312" w:eastAsia="仿宋_GB2312" w:hAnsi="Times New Roman" w:cs="Times New Roman" w:hint="eastAsia"/>
          <w:color w:val="292727"/>
          <w:kern w:val="0"/>
          <w:sz w:val="24"/>
          <w:szCs w:val="24"/>
          <w:shd w:val="clear" w:color="auto" w:fill="FFFFFF"/>
        </w:rPr>
        <w:t>人为的疏漏。</w:t>
      </w:r>
    </w:p>
    <w:p w:rsidR="008D1C02" w:rsidRDefault="008D1C02" w:rsidP="000553F0">
      <w:pPr>
        <w:shd w:val="clear" w:color="auto" w:fill="FFFFFF"/>
        <w:spacing w:line="360" w:lineRule="auto"/>
        <w:ind w:firstLineChars="200" w:firstLine="480"/>
        <w:rPr>
          <w:rFonts w:ascii="仿宋_GB2312" w:eastAsia="仿宋_GB2312" w:hAnsi="Times New Roman" w:cs="Times New Roman"/>
          <w:color w:val="292727"/>
          <w:kern w:val="0"/>
          <w:sz w:val="24"/>
          <w:szCs w:val="24"/>
          <w:shd w:val="clear" w:color="auto" w:fill="FFFFFF"/>
        </w:rPr>
      </w:pPr>
      <w:r>
        <w:rPr>
          <w:rFonts w:ascii="仿宋_GB2312" w:eastAsia="仿宋_GB2312" w:hAnsi="Times New Roman" w:cs="Times New Roman" w:hint="eastAsia"/>
          <w:color w:val="292727"/>
          <w:kern w:val="0"/>
          <w:sz w:val="24"/>
          <w:szCs w:val="24"/>
          <w:shd w:val="clear" w:color="auto" w:fill="FFFFFF"/>
        </w:rPr>
        <w:t>（四）加深校企合作的深度和广度，尝试建设校中厂，推进现代职业教育的教学改革</w:t>
      </w:r>
    </w:p>
    <w:p w:rsidR="008D1C02" w:rsidRDefault="00A409E4" w:rsidP="000553F0">
      <w:pPr>
        <w:shd w:val="clear" w:color="auto" w:fill="FFFFFF"/>
        <w:spacing w:line="360" w:lineRule="auto"/>
        <w:ind w:firstLineChars="200" w:firstLine="480"/>
        <w:rPr>
          <w:rFonts w:ascii="仿宋_GB2312" w:eastAsia="仿宋_GB2312" w:hAnsi="Times New Roman" w:cs="Times New Roman"/>
          <w:color w:val="292727"/>
          <w:kern w:val="0"/>
          <w:sz w:val="24"/>
          <w:szCs w:val="24"/>
          <w:shd w:val="clear" w:color="auto" w:fill="FFFFFF"/>
        </w:rPr>
      </w:pPr>
      <w:r>
        <w:rPr>
          <w:rFonts w:ascii="仿宋_GB2312" w:eastAsia="仿宋_GB2312" w:hAnsi="Times New Roman" w:cs="Times New Roman" w:hint="eastAsia"/>
          <w:color w:val="292727"/>
          <w:kern w:val="0"/>
          <w:sz w:val="24"/>
          <w:szCs w:val="24"/>
          <w:shd w:val="clear" w:color="auto" w:fill="FFFFFF"/>
        </w:rPr>
        <w:t>从前期与企业洽谈的成果来看，上述企业都有意向在学院内建设生产性场地，作为售后服务和人才培养的基地。只要政策和学院创办人不持异议，这些意向是有很大可能性成为现实的。一旦校中厂建成，对推进“二元制”人才培养试点将起到极大的推进作用。</w:t>
      </w:r>
    </w:p>
    <w:p w:rsidR="00A409E4" w:rsidRDefault="00A409E4" w:rsidP="000553F0">
      <w:pPr>
        <w:shd w:val="clear" w:color="auto" w:fill="FFFFFF"/>
        <w:spacing w:line="360" w:lineRule="auto"/>
        <w:ind w:firstLineChars="200" w:firstLine="480"/>
        <w:rPr>
          <w:rFonts w:ascii="仿宋_GB2312" w:eastAsia="仿宋_GB2312" w:hAnsi="Times New Roman" w:cs="Times New Roman"/>
          <w:color w:val="292727"/>
          <w:kern w:val="0"/>
          <w:sz w:val="24"/>
          <w:szCs w:val="24"/>
          <w:shd w:val="clear" w:color="auto" w:fill="FFFFFF"/>
        </w:rPr>
      </w:pPr>
      <w:r>
        <w:rPr>
          <w:rFonts w:ascii="仿宋_GB2312" w:eastAsia="仿宋_GB2312" w:hAnsi="Times New Roman" w:cs="Times New Roman" w:hint="eastAsia"/>
          <w:color w:val="292727"/>
          <w:kern w:val="0"/>
          <w:sz w:val="24"/>
          <w:szCs w:val="24"/>
          <w:shd w:val="clear" w:color="auto" w:fill="FFFFFF"/>
        </w:rPr>
        <w:t>（五）开展规范的教学活动和适应“二元制”人才培养模式的改革，使学生在工作中学习，在学习中工作，既体现“二元制”的特点，又保证人才的培养质量</w:t>
      </w:r>
    </w:p>
    <w:p w:rsidR="00A409E4" w:rsidRPr="00A409E4" w:rsidRDefault="00A409E4" w:rsidP="000553F0">
      <w:pPr>
        <w:shd w:val="clear" w:color="auto" w:fill="FFFFFF"/>
        <w:spacing w:line="360" w:lineRule="auto"/>
        <w:ind w:firstLineChars="200" w:firstLine="480"/>
        <w:rPr>
          <w:rFonts w:ascii="仿宋_GB2312" w:eastAsia="仿宋_GB2312" w:hAnsi="Times New Roman" w:cs="Times New Roman"/>
          <w:color w:val="292727"/>
          <w:kern w:val="0"/>
          <w:sz w:val="24"/>
          <w:szCs w:val="24"/>
          <w:shd w:val="clear" w:color="auto" w:fill="FFFFFF"/>
        </w:rPr>
      </w:pPr>
      <w:r>
        <w:rPr>
          <w:rFonts w:ascii="仿宋_GB2312" w:eastAsia="仿宋_GB2312" w:hAnsi="Times New Roman" w:cs="Times New Roman" w:hint="eastAsia"/>
          <w:color w:val="292727"/>
          <w:kern w:val="0"/>
          <w:sz w:val="24"/>
          <w:szCs w:val="24"/>
          <w:shd w:val="clear" w:color="auto" w:fill="FFFFFF"/>
        </w:rPr>
        <w:t>制定相应的课程标准和考核标准，以能力为和核心，开展人才培养的各项教学活动，制定灵活的教学模式和考核模式，</w:t>
      </w:r>
      <w:r w:rsidR="0061425E">
        <w:rPr>
          <w:rFonts w:ascii="仿宋_GB2312" w:eastAsia="仿宋_GB2312" w:hAnsi="Times New Roman" w:cs="Times New Roman" w:hint="eastAsia"/>
          <w:color w:val="292727"/>
          <w:kern w:val="0"/>
          <w:sz w:val="24"/>
          <w:szCs w:val="24"/>
          <w:shd w:val="clear" w:color="auto" w:fill="FFFFFF"/>
        </w:rPr>
        <w:t>结合学员的职业特点，采用多种形式的课程教学模式和考核模式，注重过程考核和能力形成考核，兼顾专业理论素养，保证人才的培养质量。</w:t>
      </w:r>
    </w:p>
    <w:p w:rsidR="00521A63" w:rsidRPr="00521A63" w:rsidRDefault="0061425E" w:rsidP="0061425E">
      <w:pPr>
        <w:widowControl/>
        <w:shd w:val="clear" w:color="auto" w:fill="FFFFFF"/>
        <w:spacing w:line="360" w:lineRule="auto"/>
        <w:ind w:firstLineChars="200" w:firstLine="482"/>
        <w:rPr>
          <w:rFonts w:ascii="仿宋_GB2312" w:eastAsia="仿宋_GB2312" w:hAnsi="Times New Roman" w:cs="Times New Roman"/>
          <w:b/>
          <w:color w:val="292727"/>
          <w:kern w:val="0"/>
          <w:sz w:val="24"/>
          <w:szCs w:val="24"/>
          <w:shd w:val="clear" w:color="auto" w:fill="FFFFFF"/>
        </w:rPr>
      </w:pPr>
      <w:r w:rsidRPr="0061425E">
        <w:rPr>
          <w:rFonts w:ascii="仿宋_GB2312" w:eastAsia="仿宋_GB2312" w:hAnsi="Times New Roman" w:cs="Times New Roman" w:hint="eastAsia"/>
          <w:b/>
          <w:color w:val="292727"/>
          <w:kern w:val="0"/>
          <w:sz w:val="24"/>
          <w:szCs w:val="24"/>
          <w:shd w:val="clear" w:color="auto" w:fill="FFFFFF"/>
        </w:rPr>
        <w:t>五、</w:t>
      </w:r>
      <w:r w:rsidR="00521A63" w:rsidRPr="00521A63">
        <w:rPr>
          <w:rFonts w:ascii="仿宋_GB2312" w:eastAsia="仿宋_GB2312" w:hAnsi="Times New Roman" w:cs="Times New Roman" w:hint="eastAsia"/>
          <w:b/>
          <w:color w:val="292727"/>
          <w:kern w:val="0"/>
          <w:sz w:val="24"/>
          <w:szCs w:val="24"/>
          <w:shd w:val="clear" w:color="auto" w:fill="FFFFFF"/>
        </w:rPr>
        <w:t>建议</w:t>
      </w:r>
      <w:r w:rsidRPr="0061425E">
        <w:rPr>
          <w:rFonts w:ascii="仿宋_GB2312" w:eastAsia="仿宋_GB2312" w:hAnsi="Times New Roman" w:cs="Times New Roman" w:hint="eastAsia"/>
          <w:b/>
          <w:color w:val="292727"/>
          <w:kern w:val="0"/>
          <w:sz w:val="24"/>
          <w:szCs w:val="24"/>
          <w:shd w:val="clear" w:color="auto" w:fill="FFFFFF"/>
        </w:rPr>
        <w:t>和意见</w:t>
      </w:r>
    </w:p>
    <w:p w:rsidR="00E27FCF" w:rsidRDefault="0061425E" w:rsidP="0061425E">
      <w:pPr>
        <w:shd w:val="clear" w:color="auto" w:fill="FFFFFF"/>
        <w:spacing w:line="360" w:lineRule="auto"/>
        <w:ind w:firstLineChars="200" w:firstLine="480"/>
        <w:rPr>
          <w:rFonts w:ascii="仿宋_GB2312" w:eastAsia="仿宋_GB2312" w:hAnsi="Times New Roman" w:cs="Times New Roman"/>
          <w:color w:val="292727"/>
          <w:kern w:val="0"/>
          <w:sz w:val="24"/>
          <w:szCs w:val="24"/>
          <w:shd w:val="clear" w:color="auto" w:fill="FFFFFF"/>
        </w:rPr>
      </w:pPr>
      <w:r w:rsidRPr="0061425E">
        <w:rPr>
          <w:rFonts w:ascii="仿宋_GB2312" w:eastAsia="仿宋_GB2312" w:hAnsi="Times New Roman" w:cs="Times New Roman" w:hint="eastAsia"/>
          <w:color w:val="292727"/>
          <w:kern w:val="0"/>
          <w:sz w:val="24"/>
          <w:szCs w:val="24"/>
          <w:shd w:val="clear" w:color="auto" w:fill="FFFFFF"/>
        </w:rPr>
        <w:t>建议市里有关部门在试点工作的基础上，总结提炼改革试点典型经验和做法，通过培育典型、示范引领，</w:t>
      </w:r>
      <w:r>
        <w:rPr>
          <w:rFonts w:ascii="仿宋_GB2312" w:eastAsia="仿宋_GB2312" w:hAnsi="Times New Roman" w:cs="Times New Roman" w:hint="eastAsia"/>
          <w:color w:val="292727"/>
          <w:kern w:val="0"/>
          <w:sz w:val="24"/>
          <w:szCs w:val="24"/>
          <w:shd w:val="clear" w:color="auto" w:fill="FFFFFF"/>
        </w:rPr>
        <w:t>增加对项目单位的政策和资金的扶持，减少项目建设过程中不必要的行政事业收费，把有限的项目资金都使用在人才培养上。</w:t>
      </w:r>
    </w:p>
    <w:p w:rsidR="00744B19" w:rsidRDefault="00744B19" w:rsidP="0061425E">
      <w:pPr>
        <w:shd w:val="clear" w:color="auto" w:fill="FFFFFF"/>
        <w:spacing w:line="360" w:lineRule="auto"/>
        <w:ind w:firstLineChars="200" w:firstLine="480"/>
        <w:rPr>
          <w:rFonts w:ascii="仿宋_GB2312" w:eastAsia="仿宋_GB2312" w:hAnsi="Times New Roman" w:cs="Times New Roman"/>
          <w:color w:val="292727"/>
          <w:kern w:val="0"/>
          <w:sz w:val="24"/>
          <w:szCs w:val="24"/>
          <w:shd w:val="clear" w:color="auto" w:fill="FFFFFF"/>
        </w:rPr>
      </w:pPr>
      <w:r>
        <w:rPr>
          <w:rFonts w:ascii="仿宋_GB2312" w:eastAsia="仿宋_GB2312" w:hAnsi="Times New Roman" w:cs="Times New Roman" w:hint="eastAsia"/>
          <w:color w:val="292727"/>
          <w:kern w:val="0"/>
          <w:sz w:val="24"/>
          <w:szCs w:val="24"/>
          <w:shd w:val="clear" w:color="auto" w:fill="FFFFFF"/>
        </w:rPr>
        <w:t>附表：2017年泉州海洋职业学院拟招收“二元制”考生计划表</w:t>
      </w:r>
    </w:p>
    <w:tbl>
      <w:tblPr>
        <w:tblStyle w:val="a6"/>
        <w:tblW w:w="0" w:type="auto"/>
        <w:jc w:val="center"/>
        <w:tblInd w:w="-1017" w:type="dxa"/>
        <w:tblLook w:val="04A0"/>
      </w:tblPr>
      <w:tblGrid>
        <w:gridCol w:w="2258"/>
        <w:gridCol w:w="3270"/>
        <w:gridCol w:w="1266"/>
        <w:gridCol w:w="2551"/>
      </w:tblGrid>
      <w:tr w:rsidR="00E91A48" w:rsidRPr="00B354BB" w:rsidTr="00B434F0">
        <w:trPr>
          <w:trHeight w:val="606"/>
          <w:jc w:val="center"/>
        </w:trPr>
        <w:tc>
          <w:tcPr>
            <w:tcW w:w="2258" w:type="dxa"/>
            <w:vAlign w:val="center"/>
          </w:tcPr>
          <w:p w:rsidR="00E91A48" w:rsidRPr="00B354BB" w:rsidRDefault="00E91A48" w:rsidP="00E91A48">
            <w:pPr>
              <w:jc w:val="center"/>
              <w:rPr>
                <w:rFonts w:ascii="仿宋_GB2312" w:eastAsia="仿宋_GB2312" w:hAnsi="Times New Roman" w:cs="Times New Roman"/>
                <w:color w:val="292727"/>
                <w:kern w:val="0"/>
                <w:szCs w:val="21"/>
                <w:shd w:val="clear" w:color="auto" w:fill="FFFFFF"/>
              </w:rPr>
            </w:pPr>
            <w:r w:rsidRPr="00B354BB">
              <w:rPr>
                <w:rFonts w:ascii="仿宋_GB2312" w:eastAsia="仿宋_GB2312" w:hAnsi="Times New Roman" w:cs="Times New Roman" w:hint="eastAsia"/>
                <w:color w:val="292727"/>
                <w:kern w:val="0"/>
                <w:szCs w:val="21"/>
                <w:shd w:val="clear" w:color="auto" w:fill="FFFFFF"/>
              </w:rPr>
              <w:t>拟招生专业</w:t>
            </w:r>
          </w:p>
        </w:tc>
        <w:tc>
          <w:tcPr>
            <w:tcW w:w="3270" w:type="dxa"/>
            <w:vAlign w:val="center"/>
          </w:tcPr>
          <w:p w:rsidR="00E91A48" w:rsidRPr="00B354BB" w:rsidRDefault="00E91A48" w:rsidP="00E91A48">
            <w:pPr>
              <w:jc w:val="center"/>
              <w:rPr>
                <w:rFonts w:ascii="仿宋_GB2312" w:eastAsia="仿宋_GB2312" w:hAnsi="Times New Roman" w:cs="Times New Roman"/>
                <w:color w:val="292727"/>
                <w:kern w:val="0"/>
                <w:szCs w:val="21"/>
                <w:shd w:val="clear" w:color="auto" w:fill="FFFFFF"/>
              </w:rPr>
            </w:pPr>
            <w:r w:rsidRPr="00B354BB">
              <w:rPr>
                <w:rFonts w:ascii="仿宋_GB2312" w:eastAsia="仿宋_GB2312" w:hAnsi="Times New Roman" w:cs="Times New Roman" w:hint="eastAsia"/>
                <w:color w:val="292727"/>
                <w:kern w:val="0"/>
                <w:szCs w:val="21"/>
                <w:shd w:val="clear" w:color="auto" w:fill="FFFFFF"/>
              </w:rPr>
              <w:t>合作企业</w:t>
            </w:r>
          </w:p>
        </w:tc>
        <w:tc>
          <w:tcPr>
            <w:tcW w:w="1266" w:type="dxa"/>
            <w:vAlign w:val="center"/>
          </w:tcPr>
          <w:p w:rsidR="00E91A48" w:rsidRPr="00B354BB" w:rsidRDefault="00E91A48" w:rsidP="004E7744">
            <w:pPr>
              <w:jc w:val="center"/>
              <w:rPr>
                <w:rFonts w:ascii="仿宋_GB2312" w:eastAsia="仿宋_GB2312" w:hAnsi="Times New Roman" w:cs="Times New Roman"/>
                <w:color w:val="292727"/>
                <w:kern w:val="0"/>
                <w:szCs w:val="21"/>
                <w:shd w:val="clear" w:color="auto" w:fill="FFFFFF"/>
              </w:rPr>
            </w:pPr>
            <w:r w:rsidRPr="00B354BB">
              <w:rPr>
                <w:rFonts w:ascii="仿宋_GB2312" w:eastAsia="仿宋_GB2312" w:hAnsi="Times New Roman" w:cs="Times New Roman" w:hint="eastAsia"/>
                <w:color w:val="292727"/>
                <w:kern w:val="0"/>
                <w:szCs w:val="21"/>
                <w:shd w:val="clear" w:color="auto" w:fill="FFFFFF"/>
              </w:rPr>
              <w:t>招生人数</w:t>
            </w:r>
          </w:p>
        </w:tc>
        <w:tc>
          <w:tcPr>
            <w:tcW w:w="2551" w:type="dxa"/>
            <w:vAlign w:val="center"/>
          </w:tcPr>
          <w:p w:rsidR="00E91A48" w:rsidRPr="00B354BB" w:rsidRDefault="00E91A48" w:rsidP="00E91A48">
            <w:pPr>
              <w:jc w:val="center"/>
              <w:rPr>
                <w:rFonts w:ascii="仿宋_GB2312" w:eastAsia="仿宋_GB2312" w:hAnsi="Times New Roman" w:cs="Times New Roman"/>
                <w:color w:val="292727"/>
                <w:kern w:val="0"/>
                <w:szCs w:val="21"/>
                <w:shd w:val="clear" w:color="auto" w:fill="FFFFFF"/>
              </w:rPr>
            </w:pPr>
            <w:r w:rsidRPr="00B354BB">
              <w:rPr>
                <w:rFonts w:ascii="仿宋_GB2312" w:eastAsia="仿宋_GB2312" w:hAnsi="Times New Roman" w:cs="Times New Roman" w:hint="eastAsia"/>
                <w:color w:val="292727"/>
                <w:kern w:val="0"/>
                <w:szCs w:val="21"/>
                <w:shd w:val="clear" w:color="auto" w:fill="FFFFFF"/>
              </w:rPr>
              <w:t>备注</w:t>
            </w:r>
          </w:p>
        </w:tc>
      </w:tr>
      <w:tr w:rsidR="00E91A48" w:rsidRPr="00B354BB" w:rsidTr="00B434F0">
        <w:trPr>
          <w:trHeight w:val="557"/>
          <w:jc w:val="center"/>
        </w:trPr>
        <w:tc>
          <w:tcPr>
            <w:tcW w:w="2258" w:type="dxa"/>
            <w:vAlign w:val="center"/>
          </w:tcPr>
          <w:p w:rsidR="00E91A48" w:rsidRPr="00B354BB" w:rsidRDefault="00E91A48" w:rsidP="00E91A48">
            <w:pPr>
              <w:rPr>
                <w:rFonts w:ascii="仿宋_GB2312" w:eastAsia="仿宋_GB2312" w:hAnsi="Times New Roman" w:cs="Times New Roman"/>
                <w:color w:val="292727"/>
                <w:kern w:val="0"/>
                <w:szCs w:val="21"/>
                <w:shd w:val="clear" w:color="auto" w:fill="FFFFFF"/>
              </w:rPr>
            </w:pPr>
            <w:r w:rsidRPr="00B354BB">
              <w:rPr>
                <w:rFonts w:ascii="仿宋_GB2312" w:eastAsia="仿宋_GB2312" w:hAnsi="Times New Roman" w:cs="Times New Roman" w:hint="eastAsia"/>
                <w:color w:val="292727"/>
                <w:kern w:val="0"/>
                <w:szCs w:val="21"/>
                <w:shd w:val="clear" w:color="auto" w:fill="FFFFFF"/>
              </w:rPr>
              <w:t>国际邮轮乘务管理</w:t>
            </w:r>
          </w:p>
        </w:tc>
        <w:tc>
          <w:tcPr>
            <w:tcW w:w="3270" w:type="dxa"/>
            <w:vAlign w:val="center"/>
          </w:tcPr>
          <w:p w:rsidR="00E91A48" w:rsidRPr="00B354BB" w:rsidRDefault="00E91A48" w:rsidP="00E91A48">
            <w:pPr>
              <w:rPr>
                <w:rFonts w:ascii="仿宋_GB2312" w:eastAsia="仿宋_GB2312" w:hAnsi="Times New Roman" w:cs="Times New Roman"/>
                <w:color w:val="292727"/>
                <w:kern w:val="0"/>
                <w:szCs w:val="21"/>
                <w:shd w:val="clear" w:color="auto" w:fill="FFFFFF"/>
              </w:rPr>
            </w:pPr>
            <w:r w:rsidRPr="00B354BB">
              <w:rPr>
                <w:rFonts w:ascii="仿宋_GB2312" w:eastAsia="仿宋_GB2312" w:hAnsi="Times New Roman" w:cs="Times New Roman" w:hint="eastAsia"/>
                <w:color w:val="292727"/>
                <w:kern w:val="0"/>
                <w:szCs w:val="21"/>
                <w:shd w:val="clear" w:color="auto" w:fill="FFFFFF"/>
              </w:rPr>
              <w:t>厦门华洋海事公司</w:t>
            </w:r>
          </w:p>
        </w:tc>
        <w:tc>
          <w:tcPr>
            <w:tcW w:w="1266" w:type="dxa"/>
            <w:vAlign w:val="center"/>
          </w:tcPr>
          <w:p w:rsidR="00E91A48" w:rsidRPr="00B354BB" w:rsidRDefault="00C34F66" w:rsidP="004E7744">
            <w:pPr>
              <w:jc w:val="center"/>
              <w:rPr>
                <w:rFonts w:ascii="仿宋_GB2312" w:eastAsia="仿宋_GB2312" w:hAnsi="Times New Roman" w:cs="Times New Roman"/>
                <w:color w:val="292727"/>
                <w:kern w:val="0"/>
                <w:szCs w:val="21"/>
                <w:shd w:val="clear" w:color="auto" w:fill="FFFFFF"/>
              </w:rPr>
            </w:pPr>
            <w:r>
              <w:rPr>
                <w:rFonts w:ascii="仿宋_GB2312" w:eastAsia="仿宋_GB2312" w:hAnsi="Times New Roman" w:cs="Times New Roman" w:hint="eastAsia"/>
                <w:color w:val="292727"/>
                <w:kern w:val="0"/>
                <w:szCs w:val="21"/>
                <w:shd w:val="clear" w:color="auto" w:fill="FFFFFF"/>
              </w:rPr>
              <w:t>80</w:t>
            </w:r>
          </w:p>
        </w:tc>
        <w:tc>
          <w:tcPr>
            <w:tcW w:w="2551" w:type="dxa"/>
            <w:vAlign w:val="center"/>
          </w:tcPr>
          <w:p w:rsidR="00E91A48" w:rsidRPr="00B354BB" w:rsidRDefault="00E91A48" w:rsidP="00E91A48">
            <w:pPr>
              <w:rPr>
                <w:rFonts w:ascii="仿宋_GB2312" w:eastAsia="仿宋_GB2312" w:hAnsi="Times New Roman" w:cs="Times New Roman"/>
                <w:color w:val="292727"/>
                <w:kern w:val="0"/>
                <w:szCs w:val="21"/>
                <w:shd w:val="clear" w:color="auto" w:fill="FFFFFF"/>
              </w:rPr>
            </w:pPr>
          </w:p>
        </w:tc>
      </w:tr>
      <w:tr w:rsidR="003934F8" w:rsidRPr="00B354BB" w:rsidTr="00B434F0">
        <w:trPr>
          <w:trHeight w:val="557"/>
          <w:jc w:val="center"/>
        </w:trPr>
        <w:tc>
          <w:tcPr>
            <w:tcW w:w="2258" w:type="dxa"/>
            <w:vAlign w:val="center"/>
          </w:tcPr>
          <w:p w:rsidR="003934F8" w:rsidRPr="00B354BB" w:rsidRDefault="003934F8" w:rsidP="003934F8">
            <w:pPr>
              <w:rPr>
                <w:rFonts w:ascii="仿宋_GB2312" w:eastAsia="仿宋_GB2312" w:hAnsi="Times New Roman" w:cs="Times New Roman"/>
                <w:color w:val="292727"/>
                <w:kern w:val="0"/>
                <w:szCs w:val="21"/>
                <w:shd w:val="clear" w:color="auto" w:fill="FFFFFF"/>
              </w:rPr>
            </w:pPr>
            <w:r>
              <w:rPr>
                <w:rFonts w:ascii="仿宋_GB2312" w:eastAsia="仿宋_GB2312" w:hAnsi="Times New Roman" w:cs="Times New Roman" w:hint="eastAsia"/>
                <w:color w:val="292727"/>
                <w:kern w:val="0"/>
                <w:szCs w:val="21"/>
                <w:shd w:val="clear" w:color="auto" w:fill="FFFFFF"/>
              </w:rPr>
              <w:t>航海技术</w:t>
            </w:r>
          </w:p>
        </w:tc>
        <w:tc>
          <w:tcPr>
            <w:tcW w:w="3270" w:type="dxa"/>
            <w:vAlign w:val="center"/>
          </w:tcPr>
          <w:p w:rsidR="003934F8" w:rsidRPr="00B354BB" w:rsidRDefault="003934F8" w:rsidP="0062456B">
            <w:pPr>
              <w:rPr>
                <w:rFonts w:ascii="仿宋_GB2312" w:eastAsia="仿宋_GB2312" w:hAnsi="Times New Roman" w:cs="Times New Roman"/>
                <w:color w:val="292727"/>
                <w:kern w:val="0"/>
                <w:szCs w:val="21"/>
                <w:shd w:val="clear" w:color="auto" w:fill="FFFFFF"/>
              </w:rPr>
            </w:pPr>
            <w:r w:rsidRPr="00B354BB">
              <w:rPr>
                <w:rFonts w:ascii="仿宋_GB2312" w:eastAsia="仿宋_GB2312" w:hAnsi="Times New Roman" w:cs="Times New Roman" w:hint="eastAsia"/>
                <w:color w:val="292727"/>
                <w:kern w:val="0"/>
                <w:szCs w:val="21"/>
                <w:shd w:val="clear" w:color="auto" w:fill="FFFFFF"/>
              </w:rPr>
              <w:t>厦门华洋海事公司</w:t>
            </w:r>
            <w:r w:rsidR="00C34F66">
              <w:rPr>
                <w:rFonts w:ascii="仿宋_GB2312" w:eastAsia="仿宋_GB2312" w:hAnsi="Times New Roman" w:cs="Times New Roman" w:hint="eastAsia"/>
                <w:color w:val="292727"/>
                <w:kern w:val="0"/>
                <w:szCs w:val="21"/>
                <w:shd w:val="clear" w:color="auto" w:fill="FFFFFF"/>
              </w:rPr>
              <w:t>等</w:t>
            </w:r>
          </w:p>
        </w:tc>
        <w:tc>
          <w:tcPr>
            <w:tcW w:w="1266" w:type="dxa"/>
            <w:vAlign w:val="center"/>
          </w:tcPr>
          <w:p w:rsidR="003934F8" w:rsidRPr="00B354BB" w:rsidRDefault="00C34F66" w:rsidP="004E7744">
            <w:pPr>
              <w:jc w:val="center"/>
              <w:rPr>
                <w:rFonts w:ascii="仿宋_GB2312" w:eastAsia="仿宋_GB2312" w:hAnsi="Times New Roman" w:cs="Times New Roman"/>
                <w:color w:val="292727"/>
                <w:kern w:val="0"/>
                <w:szCs w:val="21"/>
                <w:shd w:val="clear" w:color="auto" w:fill="FFFFFF"/>
              </w:rPr>
            </w:pPr>
            <w:r>
              <w:rPr>
                <w:rFonts w:ascii="仿宋_GB2312" w:eastAsia="仿宋_GB2312" w:hAnsi="Times New Roman" w:cs="Times New Roman" w:hint="eastAsia"/>
                <w:color w:val="292727"/>
                <w:kern w:val="0"/>
                <w:szCs w:val="21"/>
                <w:shd w:val="clear" w:color="auto" w:fill="FFFFFF"/>
              </w:rPr>
              <w:t>80</w:t>
            </w:r>
          </w:p>
        </w:tc>
        <w:tc>
          <w:tcPr>
            <w:tcW w:w="2551" w:type="dxa"/>
            <w:vAlign w:val="center"/>
          </w:tcPr>
          <w:p w:rsidR="003934F8" w:rsidRPr="00B354BB" w:rsidRDefault="003934F8" w:rsidP="00E91A48">
            <w:pPr>
              <w:rPr>
                <w:rFonts w:ascii="仿宋_GB2312" w:eastAsia="仿宋_GB2312" w:hAnsi="Times New Roman" w:cs="Times New Roman"/>
                <w:color w:val="292727"/>
                <w:kern w:val="0"/>
                <w:szCs w:val="21"/>
                <w:shd w:val="clear" w:color="auto" w:fill="FFFFFF"/>
              </w:rPr>
            </w:pPr>
          </w:p>
        </w:tc>
      </w:tr>
      <w:tr w:rsidR="003934F8" w:rsidRPr="00B354BB" w:rsidTr="00B434F0">
        <w:trPr>
          <w:trHeight w:val="557"/>
          <w:jc w:val="center"/>
        </w:trPr>
        <w:tc>
          <w:tcPr>
            <w:tcW w:w="2258" w:type="dxa"/>
            <w:vAlign w:val="center"/>
          </w:tcPr>
          <w:p w:rsidR="003934F8" w:rsidRPr="00B354BB" w:rsidRDefault="003934F8" w:rsidP="00E91A48">
            <w:pPr>
              <w:rPr>
                <w:rFonts w:ascii="仿宋_GB2312" w:eastAsia="仿宋_GB2312" w:hAnsi="Times New Roman" w:cs="Times New Roman"/>
                <w:color w:val="292727"/>
                <w:kern w:val="0"/>
                <w:szCs w:val="21"/>
                <w:shd w:val="clear" w:color="auto" w:fill="FFFFFF"/>
              </w:rPr>
            </w:pPr>
            <w:r w:rsidRPr="00B354BB">
              <w:rPr>
                <w:rFonts w:ascii="仿宋_GB2312" w:eastAsia="仿宋_GB2312" w:hAnsi="Times New Roman" w:cs="Times New Roman" w:hint="eastAsia"/>
                <w:color w:val="292727"/>
                <w:kern w:val="0"/>
                <w:szCs w:val="21"/>
                <w:shd w:val="clear" w:color="auto" w:fill="FFFFFF"/>
              </w:rPr>
              <w:t>机电一体化技术</w:t>
            </w:r>
          </w:p>
        </w:tc>
        <w:tc>
          <w:tcPr>
            <w:tcW w:w="3270" w:type="dxa"/>
            <w:vAlign w:val="center"/>
          </w:tcPr>
          <w:p w:rsidR="003934F8" w:rsidRPr="00B354BB" w:rsidRDefault="005A6CD9" w:rsidP="00E91A48">
            <w:pPr>
              <w:rPr>
                <w:rFonts w:ascii="仿宋_GB2312" w:eastAsia="仿宋_GB2312" w:hAnsi="Times New Roman" w:cs="Times New Roman"/>
                <w:color w:val="292727"/>
                <w:kern w:val="0"/>
                <w:szCs w:val="21"/>
                <w:shd w:val="clear" w:color="auto" w:fill="FFFFFF"/>
              </w:rPr>
            </w:pPr>
            <w:r>
              <w:rPr>
                <w:rFonts w:ascii="仿宋_GB2312" w:eastAsia="仿宋_GB2312" w:hint="eastAsia"/>
                <w:szCs w:val="21"/>
              </w:rPr>
              <w:t>福建三星电气</w:t>
            </w:r>
            <w:r w:rsidR="003934F8" w:rsidRPr="00B354BB">
              <w:rPr>
                <w:rFonts w:ascii="仿宋_GB2312" w:eastAsia="仿宋_GB2312" w:hint="eastAsia"/>
                <w:szCs w:val="21"/>
              </w:rPr>
              <w:t>有限公司</w:t>
            </w:r>
            <w:r w:rsidR="003934F8">
              <w:rPr>
                <w:rFonts w:ascii="仿宋_GB2312" w:eastAsia="仿宋_GB2312" w:hint="eastAsia"/>
                <w:szCs w:val="21"/>
              </w:rPr>
              <w:t>等</w:t>
            </w:r>
          </w:p>
        </w:tc>
        <w:tc>
          <w:tcPr>
            <w:tcW w:w="1266" w:type="dxa"/>
            <w:vAlign w:val="center"/>
          </w:tcPr>
          <w:p w:rsidR="003934F8" w:rsidRPr="00B354BB" w:rsidRDefault="00C34F66" w:rsidP="004E7744">
            <w:pPr>
              <w:jc w:val="center"/>
              <w:rPr>
                <w:rFonts w:ascii="仿宋_GB2312" w:eastAsia="仿宋_GB2312" w:hAnsi="Times New Roman" w:cs="Times New Roman"/>
                <w:color w:val="292727"/>
                <w:kern w:val="0"/>
                <w:szCs w:val="21"/>
                <w:shd w:val="clear" w:color="auto" w:fill="FFFFFF"/>
              </w:rPr>
            </w:pPr>
            <w:r>
              <w:rPr>
                <w:rFonts w:ascii="仿宋_GB2312" w:eastAsia="仿宋_GB2312" w:hAnsi="Times New Roman" w:cs="Times New Roman" w:hint="eastAsia"/>
                <w:color w:val="292727"/>
                <w:kern w:val="0"/>
                <w:szCs w:val="21"/>
                <w:shd w:val="clear" w:color="auto" w:fill="FFFFFF"/>
              </w:rPr>
              <w:t>80</w:t>
            </w:r>
          </w:p>
        </w:tc>
        <w:tc>
          <w:tcPr>
            <w:tcW w:w="2551" w:type="dxa"/>
            <w:vAlign w:val="center"/>
          </w:tcPr>
          <w:p w:rsidR="003934F8" w:rsidRPr="00B354BB" w:rsidRDefault="003934F8" w:rsidP="00E91A48">
            <w:pPr>
              <w:rPr>
                <w:rFonts w:ascii="仿宋_GB2312" w:eastAsia="仿宋_GB2312" w:hAnsi="Times New Roman" w:cs="Times New Roman"/>
                <w:color w:val="292727"/>
                <w:kern w:val="0"/>
                <w:szCs w:val="21"/>
                <w:shd w:val="clear" w:color="auto" w:fill="FFFFFF"/>
              </w:rPr>
            </w:pPr>
          </w:p>
        </w:tc>
      </w:tr>
      <w:tr w:rsidR="003934F8" w:rsidRPr="00B354BB" w:rsidTr="00B434F0">
        <w:trPr>
          <w:trHeight w:val="557"/>
          <w:jc w:val="center"/>
        </w:trPr>
        <w:tc>
          <w:tcPr>
            <w:tcW w:w="2258" w:type="dxa"/>
            <w:vAlign w:val="center"/>
          </w:tcPr>
          <w:p w:rsidR="003934F8" w:rsidRPr="00B354BB" w:rsidRDefault="005A6CD9" w:rsidP="00E91A48">
            <w:pPr>
              <w:rPr>
                <w:rFonts w:ascii="仿宋_GB2312" w:eastAsia="仿宋_GB2312" w:hAnsi="Times New Roman" w:cs="Times New Roman"/>
                <w:color w:val="292727"/>
                <w:kern w:val="0"/>
                <w:szCs w:val="21"/>
                <w:shd w:val="clear" w:color="auto" w:fill="FFFFFF"/>
              </w:rPr>
            </w:pPr>
            <w:r>
              <w:rPr>
                <w:rFonts w:ascii="仿宋_GB2312" w:eastAsia="仿宋_GB2312" w:hAnsi="Times New Roman" w:cs="Times New Roman" w:hint="eastAsia"/>
                <w:color w:val="292727"/>
                <w:kern w:val="0"/>
                <w:szCs w:val="21"/>
                <w:shd w:val="clear" w:color="auto" w:fill="FFFFFF"/>
              </w:rPr>
              <w:t>高速铁路客运乘务</w:t>
            </w:r>
          </w:p>
        </w:tc>
        <w:tc>
          <w:tcPr>
            <w:tcW w:w="3270" w:type="dxa"/>
            <w:vAlign w:val="center"/>
          </w:tcPr>
          <w:p w:rsidR="003934F8" w:rsidRPr="00B354BB" w:rsidRDefault="005A6CD9" w:rsidP="00196457">
            <w:pPr>
              <w:rPr>
                <w:rFonts w:ascii="仿宋_GB2312" w:eastAsia="仿宋_GB2312" w:hAnsi="Times New Roman" w:cs="Times New Roman"/>
                <w:color w:val="292727"/>
                <w:kern w:val="0"/>
                <w:szCs w:val="21"/>
                <w:shd w:val="clear" w:color="auto" w:fill="FFFFFF"/>
              </w:rPr>
            </w:pPr>
            <w:r>
              <w:rPr>
                <w:rFonts w:ascii="仿宋_GB2312" w:eastAsia="仿宋_GB2312" w:hAnsi="Times New Roman" w:cs="Times New Roman" w:hint="eastAsia"/>
                <w:color w:val="292727"/>
                <w:kern w:val="0"/>
                <w:szCs w:val="21"/>
                <w:shd w:val="clear" w:color="auto" w:fill="FFFFFF"/>
              </w:rPr>
              <w:t>厦门中海航集团</w:t>
            </w:r>
          </w:p>
        </w:tc>
        <w:tc>
          <w:tcPr>
            <w:tcW w:w="1266" w:type="dxa"/>
            <w:vAlign w:val="center"/>
          </w:tcPr>
          <w:p w:rsidR="003934F8" w:rsidRPr="00B354BB" w:rsidRDefault="005A6CD9" w:rsidP="004E7744">
            <w:pPr>
              <w:jc w:val="center"/>
              <w:rPr>
                <w:rFonts w:ascii="仿宋_GB2312" w:eastAsia="仿宋_GB2312" w:hAnsi="Times New Roman" w:cs="Times New Roman"/>
                <w:color w:val="292727"/>
                <w:kern w:val="0"/>
                <w:szCs w:val="21"/>
                <w:shd w:val="clear" w:color="auto" w:fill="FFFFFF"/>
              </w:rPr>
            </w:pPr>
            <w:r>
              <w:rPr>
                <w:rFonts w:ascii="仿宋_GB2312" w:eastAsia="仿宋_GB2312" w:hAnsi="Times New Roman" w:cs="Times New Roman" w:hint="eastAsia"/>
                <w:color w:val="292727"/>
                <w:kern w:val="0"/>
                <w:szCs w:val="21"/>
                <w:shd w:val="clear" w:color="auto" w:fill="FFFFFF"/>
              </w:rPr>
              <w:t>80</w:t>
            </w:r>
          </w:p>
        </w:tc>
        <w:tc>
          <w:tcPr>
            <w:tcW w:w="2551" w:type="dxa"/>
            <w:vAlign w:val="center"/>
          </w:tcPr>
          <w:p w:rsidR="003934F8" w:rsidRPr="00B354BB" w:rsidRDefault="003934F8" w:rsidP="00E91A48">
            <w:pPr>
              <w:rPr>
                <w:rFonts w:ascii="仿宋_GB2312" w:eastAsia="仿宋_GB2312" w:hAnsi="Times New Roman" w:cs="Times New Roman"/>
                <w:color w:val="292727"/>
                <w:kern w:val="0"/>
                <w:szCs w:val="21"/>
                <w:shd w:val="clear" w:color="auto" w:fill="FFFFFF"/>
              </w:rPr>
            </w:pPr>
          </w:p>
        </w:tc>
      </w:tr>
    </w:tbl>
    <w:p w:rsidR="00E91A48" w:rsidRPr="00744B19" w:rsidRDefault="00E91A48" w:rsidP="00E91A48">
      <w:pPr>
        <w:shd w:val="clear" w:color="auto" w:fill="FFFFFF"/>
        <w:spacing w:line="360" w:lineRule="auto"/>
        <w:rPr>
          <w:rFonts w:ascii="仿宋_GB2312" w:eastAsia="仿宋_GB2312" w:hAnsi="Times New Roman" w:cs="Times New Roman"/>
          <w:color w:val="292727"/>
          <w:kern w:val="0"/>
          <w:sz w:val="24"/>
          <w:szCs w:val="24"/>
          <w:shd w:val="clear" w:color="auto" w:fill="FFFFFF"/>
        </w:rPr>
      </w:pPr>
    </w:p>
    <w:sectPr w:rsidR="00E91A48" w:rsidRPr="00744B19" w:rsidSect="0016407E">
      <w:footerReference w:type="default" r:id="rId7"/>
      <w:pgSz w:w="11906" w:h="16838"/>
      <w:pgMar w:top="851" w:right="1134" w:bottom="851" w:left="1134" w:header="851" w:footer="85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E66" w:rsidRDefault="00031E66" w:rsidP="00744B19">
      <w:r>
        <w:separator/>
      </w:r>
    </w:p>
  </w:endnote>
  <w:endnote w:type="continuationSeparator" w:id="1">
    <w:p w:rsidR="00031E66" w:rsidRDefault="00031E66" w:rsidP="00744B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4313"/>
      <w:docPartObj>
        <w:docPartGallery w:val="Page Numbers (Bottom of Page)"/>
        <w:docPartUnique/>
      </w:docPartObj>
    </w:sdtPr>
    <w:sdtContent>
      <w:p w:rsidR="0016407E" w:rsidRDefault="0016407E">
        <w:pPr>
          <w:pStyle w:val="a5"/>
          <w:jc w:val="center"/>
        </w:pPr>
        <w:fldSimple w:instr=" PAGE   \* MERGEFORMAT ">
          <w:r w:rsidR="00514EB1" w:rsidRPr="00514EB1">
            <w:rPr>
              <w:noProof/>
              <w:lang w:val="zh-CN"/>
            </w:rPr>
            <w:t>3</w:t>
          </w:r>
        </w:fldSimple>
      </w:p>
    </w:sdtContent>
  </w:sdt>
  <w:p w:rsidR="0016407E" w:rsidRDefault="0016407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E66" w:rsidRDefault="00031E66" w:rsidP="00744B19">
      <w:r>
        <w:separator/>
      </w:r>
    </w:p>
  </w:footnote>
  <w:footnote w:type="continuationSeparator" w:id="1">
    <w:p w:rsidR="00031E66" w:rsidRDefault="00031E66" w:rsidP="00744B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1A63"/>
    <w:rsid w:val="00031E66"/>
    <w:rsid w:val="000553F0"/>
    <w:rsid w:val="000D0FC5"/>
    <w:rsid w:val="001038FE"/>
    <w:rsid w:val="0016407E"/>
    <w:rsid w:val="00274AE0"/>
    <w:rsid w:val="002A3377"/>
    <w:rsid w:val="003029BD"/>
    <w:rsid w:val="003934F8"/>
    <w:rsid w:val="003E2ED5"/>
    <w:rsid w:val="00431B48"/>
    <w:rsid w:val="0047033F"/>
    <w:rsid w:val="004E7744"/>
    <w:rsid w:val="00514EB1"/>
    <w:rsid w:val="00521A63"/>
    <w:rsid w:val="005A6CD9"/>
    <w:rsid w:val="005B4F03"/>
    <w:rsid w:val="0061425E"/>
    <w:rsid w:val="006C254B"/>
    <w:rsid w:val="006C45E0"/>
    <w:rsid w:val="006F3427"/>
    <w:rsid w:val="00716AC4"/>
    <w:rsid w:val="00744B19"/>
    <w:rsid w:val="007F6AE6"/>
    <w:rsid w:val="00805D29"/>
    <w:rsid w:val="00826437"/>
    <w:rsid w:val="0089570B"/>
    <w:rsid w:val="008D1C02"/>
    <w:rsid w:val="00916FF2"/>
    <w:rsid w:val="009832B1"/>
    <w:rsid w:val="009975CB"/>
    <w:rsid w:val="00A11FD6"/>
    <w:rsid w:val="00A409E4"/>
    <w:rsid w:val="00B354BB"/>
    <w:rsid w:val="00B434F0"/>
    <w:rsid w:val="00B70C68"/>
    <w:rsid w:val="00C34F66"/>
    <w:rsid w:val="00CA6159"/>
    <w:rsid w:val="00CB0BF5"/>
    <w:rsid w:val="00D1099B"/>
    <w:rsid w:val="00E00AB6"/>
    <w:rsid w:val="00E27FCF"/>
    <w:rsid w:val="00E91A48"/>
    <w:rsid w:val="00ED0D8B"/>
    <w:rsid w:val="00F25627"/>
    <w:rsid w:val="00F35717"/>
    <w:rsid w:val="00F74E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FC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6159"/>
    <w:pPr>
      <w:ind w:firstLineChars="200" w:firstLine="420"/>
    </w:pPr>
  </w:style>
  <w:style w:type="paragraph" w:styleId="a4">
    <w:name w:val="header"/>
    <w:basedOn w:val="a"/>
    <w:link w:val="Char"/>
    <w:uiPriority w:val="99"/>
    <w:semiHidden/>
    <w:unhideWhenUsed/>
    <w:rsid w:val="00744B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44B19"/>
    <w:rPr>
      <w:sz w:val="18"/>
      <w:szCs w:val="18"/>
    </w:rPr>
  </w:style>
  <w:style w:type="paragraph" w:styleId="a5">
    <w:name w:val="footer"/>
    <w:basedOn w:val="a"/>
    <w:link w:val="Char0"/>
    <w:uiPriority w:val="99"/>
    <w:unhideWhenUsed/>
    <w:rsid w:val="00744B19"/>
    <w:pPr>
      <w:tabs>
        <w:tab w:val="center" w:pos="4153"/>
        <w:tab w:val="right" w:pos="8306"/>
      </w:tabs>
      <w:snapToGrid w:val="0"/>
      <w:jc w:val="left"/>
    </w:pPr>
    <w:rPr>
      <w:sz w:val="18"/>
      <w:szCs w:val="18"/>
    </w:rPr>
  </w:style>
  <w:style w:type="character" w:customStyle="1" w:styleId="Char0">
    <w:name w:val="页脚 Char"/>
    <w:basedOn w:val="a0"/>
    <w:link w:val="a5"/>
    <w:uiPriority w:val="99"/>
    <w:rsid w:val="00744B19"/>
    <w:rPr>
      <w:sz w:val="18"/>
      <w:szCs w:val="18"/>
    </w:rPr>
  </w:style>
  <w:style w:type="table" w:styleId="a6">
    <w:name w:val="Table Grid"/>
    <w:basedOn w:val="a1"/>
    <w:uiPriority w:val="59"/>
    <w:rsid w:val="00E91A4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1849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3512FFC-21F8-4995-88D1-5BDA2291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3</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TITAN</dc:creator>
  <cp:keywords/>
  <dc:description/>
  <cp:lastModifiedBy>TITAN</cp:lastModifiedBy>
  <cp:revision>9</cp:revision>
  <dcterms:created xsi:type="dcterms:W3CDTF">2016-08-27T07:22:00Z</dcterms:created>
  <dcterms:modified xsi:type="dcterms:W3CDTF">2016-11-22T01:45:00Z</dcterms:modified>
</cp:coreProperties>
</file>